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B4" w:rsidRPr="00BD25B4" w:rsidRDefault="00BD25B4" w:rsidP="00816542">
      <w:pPr>
        <w:jc w:val="center"/>
        <w:rPr>
          <w:b/>
          <w:sz w:val="28"/>
          <w:szCs w:val="28"/>
        </w:rPr>
      </w:pPr>
      <w:r w:rsidRPr="00BD25B4">
        <w:rPr>
          <w:b/>
          <w:sz w:val="28"/>
          <w:szCs w:val="28"/>
        </w:rPr>
        <w:t>ПМ 02 МДК 01 Сестринский уход в терапии</w:t>
      </w:r>
    </w:p>
    <w:p w:rsidR="00BD25B4" w:rsidRPr="00BD25B4" w:rsidRDefault="00BD25B4" w:rsidP="00816542">
      <w:pPr>
        <w:jc w:val="center"/>
        <w:rPr>
          <w:b/>
          <w:sz w:val="28"/>
          <w:szCs w:val="28"/>
        </w:rPr>
      </w:pPr>
    </w:p>
    <w:p w:rsidR="00451749" w:rsidRPr="00BD25B4" w:rsidRDefault="00816542" w:rsidP="00816542">
      <w:pPr>
        <w:jc w:val="center"/>
        <w:rPr>
          <w:b/>
          <w:sz w:val="28"/>
          <w:szCs w:val="28"/>
        </w:rPr>
      </w:pPr>
      <w:r w:rsidRPr="00BD25B4">
        <w:rPr>
          <w:b/>
          <w:sz w:val="28"/>
          <w:szCs w:val="28"/>
        </w:rPr>
        <w:t xml:space="preserve">Тема: "Сестринский </w:t>
      </w:r>
      <w:r w:rsidR="00BD25B4" w:rsidRPr="00BD25B4">
        <w:rPr>
          <w:b/>
          <w:sz w:val="28"/>
          <w:szCs w:val="28"/>
        </w:rPr>
        <w:t>процесс при</w:t>
      </w:r>
      <w:r w:rsidRPr="00BD25B4">
        <w:rPr>
          <w:b/>
          <w:sz w:val="28"/>
          <w:szCs w:val="28"/>
        </w:rPr>
        <w:t xml:space="preserve"> рак</w:t>
      </w:r>
      <w:r w:rsidR="00BD25B4" w:rsidRPr="00BD25B4">
        <w:rPr>
          <w:b/>
          <w:sz w:val="28"/>
          <w:szCs w:val="28"/>
        </w:rPr>
        <w:t>е желудка"</w:t>
      </w:r>
    </w:p>
    <w:p w:rsidR="00BD25B4" w:rsidRDefault="00BD25B4" w:rsidP="00816542">
      <w:pPr>
        <w:jc w:val="center"/>
        <w:rPr>
          <w:b/>
        </w:rPr>
      </w:pPr>
    </w:p>
    <w:p w:rsidR="00CD4F11" w:rsidRPr="004A7D8A" w:rsidRDefault="00CD4F11" w:rsidP="00D01BDA">
      <w:pPr>
        <w:pStyle w:val="aa"/>
        <w:ind w:firstLine="708"/>
        <w:jc w:val="both"/>
      </w:pPr>
      <w:r w:rsidRPr="004A7D8A">
        <w:t>Рак желудка — злокачественное опухоль желудка, развивающаяся из</w:t>
      </w:r>
      <w:r w:rsidR="004A7D8A">
        <w:t xml:space="preserve"> </w:t>
      </w:r>
      <w:r w:rsidRPr="004A7D8A">
        <w:t>эпителиальной ткани, занимает одно из первых мест среди злокачественных заболеваний. К</w:t>
      </w:r>
      <w:r w:rsidR="004A7D8A">
        <w:t xml:space="preserve"> </w:t>
      </w:r>
      <w:r w:rsidRPr="004A7D8A">
        <w:t>экзогенным факторам риска относят: особенности почвы, состава воды, пищевые добавки с</w:t>
      </w:r>
      <w:r w:rsidR="004A7D8A">
        <w:t xml:space="preserve"> </w:t>
      </w:r>
      <w:r w:rsidRPr="004A7D8A">
        <w:t>нитратами. Способствуют развитию рака желудка преоб</w:t>
      </w:r>
      <w:r w:rsidR="00D01BDA">
        <w:t>ладание в пищевом рационе копче</w:t>
      </w:r>
      <w:r w:rsidRPr="004A7D8A">
        <w:t>ностей, специй, очень горячей, жирной пищи, частое употребление крепких алкогольных</w:t>
      </w:r>
      <w:r w:rsidR="004A7D8A">
        <w:t xml:space="preserve"> </w:t>
      </w:r>
      <w:r w:rsidRPr="004A7D8A">
        <w:t>напитков. Эндогенные факторы риска рака желудка: иммунодефицит, полипы желудка, хронический атрофический гастрит. Метастазы распространяются лимфогенным, гематогенным</w:t>
      </w:r>
      <w:r w:rsidR="004A7D8A">
        <w:t xml:space="preserve"> </w:t>
      </w:r>
      <w:r w:rsidRPr="004A7D8A">
        <w:t>и регионарным (прорастание) путем.</w:t>
      </w:r>
    </w:p>
    <w:p w:rsidR="004A7D8A" w:rsidRDefault="004A7D8A" w:rsidP="004A7D8A">
      <w:pPr>
        <w:pStyle w:val="aa"/>
        <w:jc w:val="both"/>
      </w:pPr>
    </w:p>
    <w:p w:rsidR="004A7D8A" w:rsidRDefault="00CD4F11" w:rsidP="00D01BDA">
      <w:pPr>
        <w:pStyle w:val="aa"/>
        <w:ind w:firstLine="708"/>
        <w:jc w:val="both"/>
      </w:pPr>
      <w:r w:rsidRPr="004A7D8A">
        <w:t xml:space="preserve">Клиника. Зависит от: </w:t>
      </w:r>
    </w:p>
    <w:p w:rsidR="004A7D8A" w:rsidRDefault="00CD4F11" w:rsidP="00D01BDA">
      <w:pPr>
        <w:pStyle w:val="aa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4A7D8A">
        <w:t>формы заболевания (диспептическая; болевая; лихорадочная;</w:t>
      </w:r>
      <w:r w:rsidR="004A7D8A">
        <w:t xml:space="preserve"> </w:t>
      </w:r>
      <w:r w:rsidRPr="004A7D8A">
        <w:t xml:space="preserve">анемическая; кахектическая; смешанная); </w:t>
      </w:r>
    </w:p>
    <w:p w:rsidR="004A7D8A" w:rsidRDefault="00CD4F11" w:rsidP="00D01BDA">
      <w:pPr>
        <w:pStyle w:val="aa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4A7D8A">
        <w:t>стадии болезни (I стадия — небольшая, четко отграниченная опухоль, локализованная в толще слизистого и подслизистого слоя. Метастазов</w:t>
      </w:r>
      <w:r w:rsidR="004A7D8A">
        <w:t xml:space="preserve"> </w:t>
      </w:r>
      <w:r w:rsidRPr="004A7D8A">
        <w:t>нет. II стадия — опухоль, вросшая в мышечные слои стенки желудка, но не проросшая серозный слой и не спаянная с соседними органами. Желудок подвижен. Метастазы в ближайших зонах, подвижные, одиночные. III стадия — опухоль значительных размеров, выходи</w:t>
      </w:r>
      <w:r w:rsidR="004A7D8A">
        <w:t xml:space="preserve">т </w:t>
      </w:r>
      <w:r w:rsidRPr="004A7D8A">
        <w:t>за пределы желудка, вросшая в соседние органы и спаявшаяся с ними. Подвижность резко</w:t>
      </w:r>
      <w:r w:rsidR="004A7D8A">
        <w:t xml:space="preserve"> </w:t>
      </w:r>
      <w:r w:rsidRPr="004A7D8A">
        <w:t>ограничена. Множественные регионарные метастазы. IV стадия — опухоль любых размеров</w:t>
      </w:r>
      <w:r w:rsidR="004A7D8A">
        <w:t xml:space="preserve"> </w:t>
      </w:r>
      <w:r w:rsidRPr="004A7D8A">
        <w:t xml:space="preserve">при наличии отдаленных метастазов); </w:t>
      </w:r>
    </w:p>
    <w:p w:rsidR="000E5A7F" w:rsidRDefault="00CD4F11" w:rsidP="00D01BDA">
      <w:pPr>
        <w:pStyle w:val="aa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4A7D8A">
        <w:t xml:space="preserve">периода (ранний, явных клинических признаков, терминальный); </w:t>
      </w:r>
    </w:p>
    <w:p w:rsidR="00CD4F11" w:rsidRPr="004A7D8A" w:rsidRDefault="00CD4F11" w:rsidP="00D01BDA">
      <w:pPr>
        <w:pStyle w:val="aa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4A7D8A">
        <w:t>осложнений (кровотечение, перфорация, стеноз привратника, сепсис).</w:t>
      </w:r>
    </w:p>
    <w:p w:rsidR="00CD4F11" w:rsidRPr="004A7D8A" w:rsidRDefault="00CD4F11" w:rsidP="000E5A7F">
      <w:pPr>
        <w:pStyle w:val="aa"/>
        <w:ind w:firstLine="708"/>
        <w:jc w:val="both"/>
      </w:pPr>
      <w:r w:rsidRPr="004A7D8A">
        <w:t>У 2-5% больных отмечается бессимптомное начало болезни, опухоль выявляется при</w:t>
      </w:r>
      <w:r w:rsidR="004A7D8A">
        <w:t xml:space="preserve"> </w:t>
      </w:r>
      <w:r w:rsidRPr="004A7D8A">
        <w:t>достижении огромных размеров. В 80% случаев заболевание начинается с синдрома малых</w:t>
      </w:r>
      <w:r w:rsidR="004A7D8A">
        <w:t xml:space="preserve"> </w:t>
      </w:r>
      <w:r w:rsidRPr="004A7D8A">
        <w:t>признаков: немотивированная слабость, повышенная утомляемость, желудочный дискомфорт после еды, потеря аппетита, похудание. Затем присоединяется быстрое насыщение после приема малого количества пищи, чувство переполнения желудка после еды, отрыжка</w:t>
      </w:r>
      <w:r w:rsidR="004A7D8A">
        <w:t xml:space="preserve"> </w:t>
      </w:r>
      <w:r w:rsidRPr="004A7D8A">
        <w:t>«тухлым», черный стул, лихорадка. На этой стадии характерно отсутствие каких-либо закономерностей в клинических проявлениях рака желудка.</w:t>
      </w:r>
    </w:p>
    <w:p w:rsidR="000E5A7F" w:rsidRDefault="00CD4F11" w:rsidP="000E5A7F">
      <w:pPr>
        <w:pStyle w:val="aa"/>
        <w:ind w:firstLine="708"/>
        <w:jc w:val="both"/>
      </w:pPr>
      <w:r w:rsidRPr="004A7D8A">
        <w:t>При развившемся раке желудка отмечается: потеря веса, ухудшение аппетита, отвращение к мясной пище, тошнота, рвота, кровотечение желудочное или кишечное, признаки</w:t>
      </w:r>
      <w:r w:rsidR="000E5A7F">
        <w:t xml:space="preserve"> </w:t>
      </w:r>
      <w:r w:rsidRPr="004A7D8A">
        <w:t>анемии. Часто пальпируется опухоль. Многообразие клинических проявлений рака желудка</w:t>
      </w:r>
      <w:r w:rsidR="004A7D8A">
        <w:t xml:space="preserve"> </w:t>
      </w:r>
      <w:r w:rsidRPr="004A7D8A">
        <w:t>на этой стадии зависит от: локализации опухоли, формы роста опухоли (экзофитная, эндофитная), распространенности процесса. Рак кардиального отдела в начале болезни часто протекает бессимптомно, затем присоединяются признаки нарушения проходимости пищи по</w:t>
      </w:r>
      <w:r w:rsidR="002A3402">
        <w:t xml:space="preserve"> </w:t>
      </w:r>
      <w:r w:rsidRPr="004A7D8A">
        <w:t>пищеводу (дисфагия, рвота сразу после приема сухой, плохо прожеванной пищи). Рак большой кривизны в основном проявляется признаками анемии и обнаруживается, когда опухоль</w:t>
      </w:r>
      <w:r w:rsidR="002A3402">
        <w:t xml:space="preserve"> </w:t>
      </w:r>
      <w:r w:rsidRPr="004A7D8A">
        <w:t>достигает больших размеров. При раке пилорического отдела основным симптомом является</w:t>
      </w:r>
      <w:r w:rsidR="002A3402">
        <w:t xml:space="preserve"> </w:t>
      </w:r>
      <w:r w:rsidRPr="004A7D8A">
        <w:t>рвота, возникающая через несколько часов после еды, развивается прогрессирующее снижение массы тела, иногда более чем на 10 кг в месяц. В заключительной стадии болезни больных беспокоят сильные, нестерпимые, изнуряющие боли в эпигастрии, позвоночнике, костях, суставах, правом подреберье, в животе. Отмечается анорексия, рвота после каждого</w:t>
      </w:r>
      <w:r w:rsidR="002A3402">
        <w:t xml:space="preserve"> </w:t>
      </w:r>
      <w:r w:rsidRPr="004A7D8A">
        <w:t>приема пищи, непереносимость запахов пищи, сильнейшая слабость, пролежни. Кожа становится сухой, морщинистой, землисто-серого цвета</w:t>
      </w:r>
      <w:r w:rsidR="002A3402">
        <w:t xml:space="preserve">. </w:t>
      </w:r>
    </w:p>
    <w:p w:rsidR="00CD4F11" w:rsidRPr="004A7D8A" w:rsidRDefault="00CD4F11" w:rsidP="000E5A7F">
      <w:pPr>
        <w:pStyle w:val="aa"/>
        <w:ind w:firstLine="708"/>
        <w:jc w:val="both"/>
      </w:pPr>
      <w:r w:rsidRPr="004A7D8A">
        <w:t>Для диагностики рака применяется гастродуоденоскопия с прицельной биопсией и,</w:t>
      </w:r>
      <w:r w:rsidR="002A3402">
        <w:t xml:space="preserve"> </w:t>
      </w:r>
      <w:r w:rsidRPr="004A7D8A">
        <w:t>реже, контрастное рентгенологическое исследование (опре</w:t>
      </w:r>
      <w:r w:rsidR="002A3402">
        <w:t>деляется дефект наполнения). Ис</w:t>
      </w:r>
      <w:r w:rsidRPr="004A7D8A">
        <w:t xml:space="preserve">кусственное контрастирование достигается путем введения в полость контрастного </w:t>
      </w:r>
      <w:r w:rsidRPr="004A7D8A">
        <w:lastRenderedPageBreak/>
        <w:t>вещества</w:t>
      </w:r>
      <w:r w:rsidR="002A3402">
        <w:t xml:space="preserve"> </w:t>
      </w:r>
      <w:r w:rsidRPr="004A7D8A">
        <w:t>или газа, например сульфата бария. Выступающая в просвет органа опухоль создает на его</w:t>
      </w:r>
      <w:r w:rsidR="002A3402">
        <w:t xml:space="preserve"> </w:t>
      </w:r>
      <w:r w:rsidRPr="004A7D8A">
        <w:t>контуре «дефект наполнения».</w:t>
      </w:r>
    </w:p>
    <w:p w:rsidR="00CD4F11" w:rsidRPr="004A7D8A" w:rsidRDefault="00CD4F11" w:rsidP="000E5A7F">
      <w:pPr>
        <w:pStyle w:val="aa"/>
        <w:ind w:firstLine="708"/>
        <w:jc w:val="both"/>
      </w:pPr>
      <w:r w:rsidRPr="004A7D8A">
        <w:t>При лабораторном исследовании: в крови выявляются признаки анемии, увеличение</w:t>
      </w:r>
      <w:r w:rsidR="002A3402">
        <w:t xml:space="preserve"> </w:t>
      </w:r>
      <w:r w:rsidRPr="004A7D8A">
        <w:t>СОЭ. В желудочном содержимом обнаруживается молочная кислота, отсутствие соляной</w:t>
      </w:r>
      <w:r w:rsidR="002A3402">
        <w:t xml:space="preserve"> </w:t>
      </w:r>
      <w:r w:rsidRPr="004A7D8A">
        <w:t>кислоты, атипичные клетки. В кале постоянно обнаруживается скрытая кровь.</w:t>
      </w:r>
    </w:p>
    <w:p w:rsidR="000E5A7F" w:rsidRDefault="00CD4F11" w:rsidP="000E5A7F">
      <w:pPr>
        <w:pStyle w:val="aa"/>
        <w:ind w:firstLine="708"/>
        <w:jc w:val="both"/>
      </w:pPr>
      <w:r w:rsidRPr="004A7D8A">
        <w:t xml:space="preserve">Проблемы: </w:t>
      </w:r>
    </w:p>
    <w:p w:rsidR="000E5A7F" w:rsidRDefault="00CD4F11" w:rsidP="000E5A7F">
      <w:pPr>
        <w:pStyle w:val="aa"/>
        <w:numPr>
          <w:ilvl w:val="0"/>
          <w:numId w:val="17"/>
        </w:numPr>
        <w:ind w:left="1134" w:hanging="425"/>
        <w:jc w:val="both"/>
      </w:pPr>
      <w:r w:rsidRPr="004A7D8A">
        <w:t xml:space="preserve">боль в области желудка; </w:t>
      </w:r>
    </w:p>
    <w:p w:rsidR="000E5A7F" w:rsidRDefault="00CD4F11" w:rsidP="000E5A7F">
      <w:pPr>
        <w:pStyle w:val="aa"/>
        <w:numPr>
          <w:ilvl w:val="0"/>
          <w:numId w:val="17"/>
        </w:numPr>
        <w:ind w:left="1134" w:hanging="425"/>
        <w:jc w:val="both"/>
      </w:pPr>
      <w:r w:rsidRPr="004A7D8A">
        <w:t xml:space="preserve">нарушение аппетита; </w:t>
      </w:r>
    </w:p>
    <w:p w:rsidR="000E5A7F" w:rsidRDefault="00CD4F11" w:rsidP="000E5A7F">
      <w:pPr>
        <w:pStyle w:val="aa"/>
        <w:numPr>
          <w:ilvl w:val="0"/>
          <w:numId w:val="17"/>
        </w:numPr>
        <w:ind w:left="1134" w:hanging="425"/>
        <w:jc w:val="both"/>
      </w:pPr>
      <w:r w:rsidRPr="004A7D8A">
        <w:t>желудочный дискомфорт;</w:t>
      </w:r>
      <w:r w:rsidR="002A3402">
        <w:t xml:space="preserve"> </w:t>
      </w:r>
    </w:p>
    <w:p w:rsidR="000E5A7F" w:rsidRDefault="00CD4F11" w:rsidP="000E5A7F">
      <w:pPr>
        <w:pStyle w:val="aa"/>
        <w:numPr>
          <w:ilvl w:val="0"/>
          <w:numId w:val="17"/>
        </w:numPr>
        <w:ind w:left="1134" w:hanging="425"/>
        <w:jc w:val="both"/>
      </w:pPr>
      <w:r w:rsidRPr="004A7D8A">
        <w:t xml:space="preserve">давление, чувство переполнения в желудке после еды; </w:t>
      </w:r>
    </w:p>
    <w:p w:rsidR="000E5A7F" w:rsidRDefault="00CD4F11" w:rsidP="000E5A7F">
      <w:pPr>
        <w:pStyle w:val="aa"/>
        <w:numPr>
          <w:ilvl w:val="0"/>
          <w:numId w:val="17"/>
        </w:numPr>
        <w:ind w:left="1134" w:hanging="425"/>
        <w:jc w:val="both"/>
      </w:pPr>
      <w:r w:rsidRPr="004A7D8A">
        <w:t xml:space="preserve">отрыжка тухлым; </w:t>
      </w:r>
    </w:p>
    <w:p w:rsidR="000E5A7F" w:rsidRDefault="00CD4F11" w:rsidP="000E5A7F">
      <w:pPr>
        <w:pStyle w:val="aa"/>
        <w:numPr>
          <w:ilvl w:val="0"/>
          <w:numId w:val="17"/>
        </w:numPr>
        <w:ind w:left="1134" w:hanging="425"/>
        <w:jc w:val="both"/>
      </w:pPr>
      <w:r w:rsidRPr="004A7D8A">
        <w:t xml:space="preserve">дисфагия; </w:t>
      </w:r>
    </w:p>
    <w:p w:rsidR="000E5A7F" w:rsidRDefault="00CD4F11" w:rsidP="000E5A7F">
      <w:pPr>
        <w:pStyle w:val="aa"/>
        <w:numPr>
          <w:ilvl w:val="0"/>
          <w:numId w:val="17"/>
        </w:numPr>
        <w:ind w:left="1134" w:hanging="425"/>
        <w:jc w:val="both"/>
      </w:pPr>
      <w:r w:rsidRPr="004A7D8A">
        <w:t>тошнота;</w:t>
      </w:r>
      <w:r w:rsidR="002A3402">
        <w:t xml:space="preserve"> </w:t>
      </w:r>
    </w:p>
    <w:p w:rsidR="000E5A7F" w:rsidRDefault="00CD4F11" w:rsidP="000E5A7F">
      <w:pPr>
        <w:pStyle w:val="aa"/>
        <w:numPr>
          <w:ilvl w:val="0"/>
          <w:numId w:val="17"/>
        </w:numPr>
        <w:ind w:left="1134" w:hanging="425"/>
        <w:jc w:val="both"/>
      </w:pPr>
      <w:r w:rsidRPr="004A7D8A">
        <w:t xml:space="preserve">рвота; </w:t>
      </w:r>
    </w:p>
    <w:p w:rsidR="00CD4F11" w:rsidRPr="004A7D8A" w:rsidRDefault="00CD4F11" w:rsidP="000E5A7F">
      <w:pPr>
        <w:pStyle w:val="aa"/>
        <w:numPr>
          <w:ilvl w:val="0"/>
          <w:numId w:val="17"/>
        </w:numPr>
        <w:ind w:left="1134" w:hanging="425"/>
        <w:jc w:val="both"/>
      </w:pPr>
      <w:r w:rsidRPr="004A7D8A">
        <w:t>похудание.</w:t>
      </w:r>
    </w:p>
    <w:p w:rsidR="00CD4F11" w:rsidRPr="004A7D8A" w:rsidRDefault="00CD4F11" w:rsidP="000E5A7F">
      <w:pPr>
        <w:pStyle w:val="aa"/>
        <w:ind w:firstLine="708"/>
        <w:jc w:val="both"/>
      </w:pPr>
      <w:r w:rsidRPr="004A7D8A">
        <w:t>Уход и лечение. Медицинская сестра обеспечивает: четкое и своевременное выполнение назначений врача; своевременный и правильный прием больными лекарственных препаратов; контроль передач больному продуктов питания родственниками; контроль АД,</w:t>
      </w:r>
      <w:r w:rsidR="002A3402">
        <w:t xml:space="preserve"> </w:t>
      </w:r>
      <w:r w:rsidRPr="004A7D8A">
        <w:t>ЧДД, пульса, массы тела, стула; подготовку к дополнител</w:t>
      </w:r>
      <w:r w:rsidR="002A3402">
        <w:t>ьным исследованиям; оказание по</w:t>
      </w:r>
      <w:r w:rsidRPr="004A7D8A">
        <w:t xml:space="preserve">мощи при рвоте, желудочном кровотечении; соблюдение </w:t>
      </w:r>
      <w:r w:rsidR="000E5A7F">
        <w:t>деонтологических правил при ухо</w:t>
      </w:r>
      <w:r w:rsidRPr="004A7D8A">
        <w:t>де за больными; профилактику пролежней. Также она проводит: беседы с больными и их</w:t>
      </w:r>
      <w:r w:rsidR="002A3402">
        <w:t xml:space="preserve"> </w:t>
      </w:r>
      <w:r w:rsidRPr="004A7D8A">
        <w:t>родственниками о значении систематического приема лекарственных средств для улучшения</w:t>
      </w:r>
      <w:r w:rsidR="002A3402">
        <w:t xml:space="preserve"> </w:t>
      </w:r>
      <w:r w:rsidRPr="004A7D8A">
        <w:t>качества жизни пациента; обучение больных правилам приема лекарственных препаратов,</w:t>
      </w:r>
      <w:r w:rsidR="002A3402">
        <w:t xml:space="preserve"> </w:t>
      </w:r>
      <w:r w:rsidRPr="004A7D8A">
        <w:t>постановки очистительных клизм.</w:t>
      </w:r>
    </w:p>
    <w:p w:rsidR="00CD4F11" w:rsidRPr="004A7D8A" w:rsidRDefault="00CD4F11" w:rsidP="000E5A7F">
      <w:pPr>
        <w:pStyle w:val="aa"/>
        <w:ind w:firstLine="708"/>
        <w:jc w:val="both"/>
      </w:pPr>
      <w:r w:rsidRPr="004A7D8A">
        <w:t>Режим и диета зависят от стадии развития злокач</w:t>
      </w:r>
      <w:r w:rsidR="002A3402">
        <w:t>ественной опухоли и метода лече</w:t>
      </w:r>
      <w:r w:rsidRPr="004A7D8A">
        <w:t>ния. Пища дается механически и химически щадящая, малыми порциями не реже 4 раз в сут</w:t>
      </w:r>
      <w:r w:rsidR="002A3402">
        <w:t>к</w:t>
      </w:r>
      <w:r w:rsidRPr="004A7D8A">
        <w:t>и. В начале болезни медицинская сестра проводит подготовку больных к дополнительным</w:t>
      </w:r>
      <w:r w:rsidR="002A3402">
        <w:t xml:space="preserve"> </w:t>
      </w:r>
      <w:r w:rsidRPr="004A7D8A">
        <w:t>исследованиям (лабораторные методы исследования крови, кала, мочи, желудочного содержимого), инструментальные методы (УЗИ, ФГС, рентгенологические). Особые трудности</w:t>
      </w:r>
      <w:r w:rsidR="002A3402">
        <w:t xml:space="preserve"> </w:t>
      </w:r>
      <w:r w:rsidRPr="004A7D8A">
        <w:t>ухода в неоперабельной стадии: обеспечивается личная ги</w:t>
      </w:r>
      <w:r w:rsidR="002A3402">
        <w:t>гиена, самообслуживание, кварце</w:t>
      </w:r>
      <w:r w:rsidRPr="004A7D8A">
        <w:t>вание, проветривание, влажная уборка палат, уход за кожей, слизистыми, промежностью при</w:t>
      </w:r>
      <w:r w:rsidR="002A3402">
        <w:t xml:space="preserve"> </w:t>
      </w:r>
      <w:r w:rsidRPr="004A7D8A">
        <w:t>нарушении физиологических отправлений, профилактика пролежней; деонтологические аспекты работы с больными и их родственниками.</w:t>
      </w:r>
    </w:p>
    <w:p w:rsidR="00CD4F11" w:rsidRPr="004A7D8A" w:rsidRDefault="00CD4F11" w:rsidP="000E5A7F">
      <w:pPr>
        <w:pStyle w:val="aa"/>
        <w:ind w:firstLine="708"/>
        <w:jc w:val="both"/>
      </w:pPr>
      <w:r w:rsidRPr="004A7D8A">
        <w:t>Принципы и методы лечения больных раком желу</w:t>
      </w:r>
      <w:r w:rsidR="002A3402">
        <w:t>дка: хирургическое, лучевое, хи</w:t>
      </w:r>
      <w:r w:rsidRPr="004A7D8A">
        <w:t>миотерапевтическое, комбинированное. Химиотерапия является как дополнительным, так и</w:t>
      </w:r>
      <w:r w:rsidR="002A3402">
        <w:t xml:space="preserve"> </w:t>
      </w:r>
      <w:r w:rsidRPr="004A7D8A">
        <w:t>самостоятельным методом. Она более успешна после радикальных операций. Применяется</w:t>
      </w:r>
      <w:r w:rsidR="002A3402">
        <w:t xml:space="preserve"> </w:t>
      </w:r>
      <w:r w:rsidRPr="004A7D8A">
        <w:t>комбинированная терапия: 5-фторурацил + циклофосфан +</w:t>
      </w:r>
      <w:r w:rsidR="002A3402">
        <w:t xml:space="preserve"> натулан. В небольшом числе слу</w:t>
      </w:r>
      <w:r w:rsidRPr="004A7D8A">
        <w:t>чаев проводится лучевая терапия (при наличии противопоказаний к хирургическому лечению).</w:t>
      </w:r>
    </w:p>
    <w:p w:rsidR="00CD4F11" w:rsidRPr="004A7D8A" w:rsidRDefault="00CD4F11" w:rsidP="00E315B0">
      <w:pPr>
        <w:pStyle w:val="aa"/>
        <w:ind w:firstLine="708"/>
        <w:jc w:val="both"/>
      </w:pPr>
      <w:r w:rsidRPr="004A7D8A">
        <w:t>При неоперабельных формах рака проводится паллиативное лечение. Назначается</w:t>
      </w:r>
      <w:r w:rsidR="002A3402">
        <w:t xml:space="preserve"> </w:t>
      </w:r>
      <w:r w:rsidRPr="004A7D8A">
        <w:t>полноценное питание. Прием пищи 4 раза в день небольшими порциями. При возникновении</w:t>
      </w:r>
      <w:r w:rsidR="002A3402">
        <w:t xml:space="preserve"> </w:t>
      </w:r>
      <w:r w:rsidRPr="004A7D8A">
        <w:t>рвоты назначаются препараты, регулирующие моторику желудка и двенадцатиперстной</w:t>
      </w:r>
      <w:r w:rsidR="002A3402">
        <w:t xml:space="preserve"> </w:t>
      </w:r>
      <w:r w:rsidRPr="004A7D8A">
        <w:t>кишки (папаверин, но-шпа, галидор, церукал), местные анестетики (0,5% раствор новокаина</w:t>
      </w:r>
      <w:r w:rsidR="002A3402">
        <w:t xml:space="preserve"> </w:t>
      </w:r>
      <w:r w:rsidRPr="004A7D8A">
        <w:t>по 1 ст. л. 3-4 раза в день, анестезин в порошке).</w:t>
      </w:r>
    </w:p>
    <w:p w:rsidR="00CD4F11" w:rsidRPr="004A7D8A" w:rsidRDefault="00CD4F11" w:rsidP="00E315B0">
      <w:pPr>
        <w:pStyle w:val="aa"/>
        <w:ind w:firstLine="708"/>
        <w:jc w:val="both"/>
      </w:pPr>
      <w:r w:rsidRPr="004A7D8A">
        <w:t>При болях (согласно рекомендациям ВОЗ) последов</w:t>
      </w:r>
      <w:r w:rsidR="00E315B0">
        <w:t>ательно, по мере возрастания ин</w:t>
      </w:r>
      <w:r w:rsidRPr="004A7D8A">
        <w:t>тенсивности и отсутствия эффекта от проводимой терапии, назначаются обезболивающие</w:t>
      </w:r>
      <w:r w:rsidR="00E315B0">
        <w:t xml:space="preserve"> </w:t>
      </w:r>
      <w:r w:rsidRPr="004A7D8A">
        <w:t>средства по ступеням: 1-я ступень — периферические ненаркотические анальгетики (парацетамол, бруфен и другие нестероидные противовоспалительные средства); 2-я ступень — пе</w:t>
      </w:r>
      <w:r w:rsidR="002A3402">
        <w:t>риферические анальгетики + ко</w:t>
      </w:r>
      <w:r w:rsidRPr="004A7D8A">
        <w:t>анальгетики (транквилизаторы, нейролептики, снотворные,</w:t>
      </w:r>
      <w:r w:rsidR="002A3402">
        <w:t xml:space="preserve"> </w:t>
      </w:r>
      <w:r w:rsidRPr="004A7D8A">
        <w:t xml:space="preserve">кортикостероиды) + слабые опиоиды (кодеин); 3-я ступень — </w:t>
      </w:r>
      <w:r w:rsidRPr="004A7D8A">
        <w:lastRenderedPageBreak/>
        <w:t>периферические анальгетики +</w:t>
      </w:r>
      <w:r w:rsidR="002A3402">
        <w:t>ко</w:t>
      </w:r>
      <w:r w:rsidRPr="004A7D8A">
        <w:t xml:space="preserve">анальгетики + сильнодействующие опиаты (морфин) + центрально-действующие анальгетики-опиаты. </w:t>
      </w:r>
    </w:p>
    <w:p w:rsidR="00CD4F11" w:rsidRPr="004A7D8A" w:rsidRDefault="00CD4F11" w:rsidP="00E315B0">
      <w:pPr>
        <w:pStyle w:val="aa"/>
        <w:ind w:firstLine="708"/>
        <w:jc w:val="both"/>
      </w:pPr>
      <w:r w:rsidRPr="004A7D8A">
        <w:t>Одновременно проводится симптоматическое и детоксикационное лечение.</w:t>
      </w:r>
    </w:p>
    <w:p w:rsidR="00CD4F11" w:rsidRPr="004A7D8A" w:rsidRDefault="00CD4F11" w:rsidP="00E315B0">
      <w:pPr>
        <w:pStyle w:val="aa"/>
        <w:ind w:firstLine="708"/>
        <w:jc w:val="both"/>
      </w:pPr>
      <w:r w:rsidRPr="004A7D8A">
        <w:t>Все больные нуждаются в психотерапевтической поддержке окружающих. Большая</w:t>
      </w:r>
      <w:r w:rsidR="002A3402">
        <w:t xml:space="preserve"> </w:t>
      </w:r>
      <w:r w:rsidRPr="004A7D8A">
        <w:t>роль в этом принадлежит медсестре. Потребность в поддержке обусловлена страхом и беспокойством в связи с самой болезнью, подавленным настроением, нарушением физических</w:t>
      </w:r>
      <w:r w:rsidR="002A3402">
        <w:t xml:space="preserve"> </w:t>
      </w:r>
      <w:r w:rsidRPr="004A7D8A">
        <w:t>способностей в решении повседневных проблем. Медсестра и родственники помогают повысить у больного настроение, способствуют процессу адаптации и улучшают качество жизни.</w:t>
      </w:r>
    </w:p>
    <w:p w:rsidR="00CD4F11" w:rsidRPr="004A7D8A" w:rsidRDefault="00CD4F11" w:rsidP="00E315B0">
      <w:pPr>
        <w:pStyle w:val="aa"/>
        <w:ind w:firstLine="708"/>
        <w:jc w:val="both"/>
      </w:pPr>
      <w:r w:rsidRPr="004A7D8A">
        <w:t>Проблемно-ситуационная задача.</w:t>
      </w:r>
    </w:p>
    <w:p w:rsidR="00CD4F11" w:rsidRPr="004A7D8A" w:rsidRDefault="00CD4F11" w:rsidP="00E315B0">
      <w:pPr>
        <w:pStyle w:val="aa"/>
        <w:ind w:firstLine="708"/>
        <w:jc w:val="both"/>
      </w:pPr>
      <w:r w:rsidRPr="004A7D8A">
        <w:t>Пациент Л., 68 лет, находится на лечении в онкологическом отделении с диагнозом:</w:t>
      </w:r>
      <w:r w:rsidR="00E315B0">
        <w:t xml:space="preserve"> </w:t>
      </w:r>
      <w:r w:rsidRPr="004A7D8A">
        <w:t>Рак желудка, 4 стадия. При сестринском обследовании установлены жалобы на: сильную периодическую боль в эпигастральной области, не связа</w:t>
      </w:r>
      <w:r w:rsidR="00E315B0">
        <w:t>нную с приемом пищи, рвоту, сла</w:t>
      </w:r>
      <w:r w:rsidRPr="004A7D8A">
        <w:t>бость, отсутствие аппетита, отвращение к мясной пище, похудание, вздутие живота. Пациент</w:t>
      </w:r>
      <w:r w:rsidR="002A3402">
        <w:t xml:space="preserve"> </w:t>
      </w:r>
      <w:r w:rsidRPr="004A7D8A">
        <w:t>адинамичен, подавлен, вступает в контакт с трудом, замкнут.</w:t>
      </w:r>
    </w:p>
    <w:p w:rsidR="00CD4F11" w:rsidRPr="004A7D8A" w:rsidRDefault="00CD4F11" w:rsidP="00E315B0">
      <w:pPr>
        <w:pStyle w:val="aa"/>
        <w:ind w:firstLine="708"/>
        <w:jc w:val="both"/>
      </w:pPr>
      <w:r w:rsidRPr="004A7D8A">
        <w:t>Объективно: Состояние тяжелое, температура 37,90 С, кожные покровы бледные с</w:t>
      </w:r>
    </w:p>
    <w:p w:rsidR="00CD4F11" w:rsidRPr="004A7D8A" w:rsidRDefault="00CD4F11" w:rsidP="004A7D8A">
      <w:pPr>
        <w:pStyle w:val="aa"/>
        <w:jc w:val="both"/>
      </w:pPr>
      <w:r w:rsidRPr="004A7D8A">
        <w:t>землистым оттенком. Больной резко истощен, тургор сниж</w:t>
      </w:r>
      <w:r w:rsidR="002A3402">
        <w:t>ен. ЧДД 18 в 1 мин. В легких ды</w:t>
      </w:r>
      <w:r w:rsidRPr="004A7D8A">
        <w:t>хание везикулярное. Пульс 78 в 1 мин, удовлетворительного наполнения. АД 120/80 мм рт.ст. Тоны сердца приглушены, ритмичные. При паль</w:t>
      </w:r>
      <w:r w:rsidR="002A3402">
        <w:t>пации живот болезненный в эпига</w:t>
      </w:r>
      <w:r w:rsidRPr="004A7D8A">
        <w:t>стральной области, напряжение мышц передней брюшной стенки. Печень плотная, болезненная, бугристая, выступает на 5 см. из-под края реберной дуги.</w:t>
      </w:r>
    </w:p>
    <w:p w:rsidR="00CD4F11" w:rsidRPr="004A7D8A" w:rsidRDefault="00CD4F11" w:rsidP="00E315B0">
      <w:pPr>
        <w:pStyle w:val="aa"/>
        <w:ind w:firstLine="708"/>
        <w:jc w:val="both"/>
      </w:pPr>
      <w:r w:rsidRPr="004A7D8A">
        <w:t>Задания:</w:t>
      </w:r>
    </w:p>
    <w:p w:rsidR="00CD4F11" w:rsidRPr="004A7D8A" w:rsidRDefault="00CD4F11" w:rsidP="00E315B0">
      <w:pPr>
        <w:pStyle w:val="aa"/>
        <w:tabs>
          <w:tab w:val="left" w:pos="1134"/>
        </w:tabs>
        <w:ind w:firstLine="709"/>
        <w:jc w:val="both"/>
      </w:pPr>
      <w:r w:rsidRPr="004A7D8A">
        <w:t>1. Определить потребности, удовлетворение котор</w:t>
      </w:r>
      <w:r w:rsidR="00115EC9">
        <w:t>ых нарушено, сформулировать про</w:t>
      </w:r>
      <w:r w:rsidRPr="004A7D8A">
        <w:t>блемы пациента.</w:t>
      </w:r>
    </w:p>
    <w:p w:rsidR="00CD4F11" w:rsidRPr="004A7D8A" w:rsidRDefault="00CD4F11" w:rsidP="00E315B0">
      <w:pPr>
        <w:pStyle w:val="aa"/>
        <w:tabs>
          <w:tab w:val="left" w:pos="1134"/>
        </w:tabs>
        <w:ind w:firstLine="709"/>
        <w:jc w:val="both"/>
      </w:pPr>
      <w:r w:rsidRPr="004A7D8A">
        <w:t>2. Поставить цели и составить план сестринских вмешательств с мотивацией.</w:t>
      </w:r>
    </w:p>
    <w:p w:rsidR="00CD4F11" w:rsidRPr="004A7D8A" w:rsidRDefault="00CD4F11" w:rsidP="00E315B0">
      <w:pPr>
        <w:pStyle w:val="aa"/>
        <w:ind w:firstLine="708"/>
        <w:jc w:val="both"/>
      </w:pPr>
      <w:r w:rsidRPr="004A7D8A">
        <w:t>Эталон ответа:</w:t>
      </w:r>
    </w:p>
    <w:p w:rsidR="00CD4F11" w:rsidRPr="004A7D8A" w:rsidRDefault="00CD4F11" w:rsidP="00E315B0">
      <w:pPr>
        <w:pStyle w:val="aa"/>
        <w:tabs>
          <w:tab w:val="left" w:pos="1134"/>
        </w:tabs>
        <w:ind w:firstLine="709"/>
        <w:jc w:val="both"/>
      </w:pPr>
      <w:r w:rsidRPr="004A7D8A">
        <w:t>1. Нарушены потребности: есть, пить, выделять, быть здоровым, избегать опасности,</w:t>
      </w:r>
      <w:r w:rsidR="00115EC9">
        <w:t xml:space="preserve"> </w:t>
      </w:r>
      <w:r w:rsidRPr="004A7D8A">
        <w:t>поддерживать температуру тела, спать, работать. Проблемы настоящие: боль в эпигастральной области, рвота, слабость, отсутствие аппетита, отвращение к мясной пище, похудание,</w:t>
      </w:r>
      <w:r w:rsidR="00115EC9">
        <w:t xml:space="preserve"> </w:t>
      </w:r>
      <w:r w:rsidRPr="004A7D8A">
        <w:t>вздутие живота. Проблема потенциальная: возможно развитие желудочного кровотечения.</w:t>
      </w:r>
    </w:p>
    <w:p w:rsidR="00CD4F11" w:rsidRPr="004A7D8A" w:rsidRDefault="00CD4F11" w:rsidP="00E315B0">
      <w:pPr>
        <w:pStyle w:val="aa"/>
        <w:tabs>
          <w:tab w:val="left" w:pos="1134"/>
        </w:tabs>
        <w:ind w:firstLine="709"/>
        <w:jc w:val="both"/>
      </w:pPr>
      <w:r w:rsidRPr="004A7D8A">
        <w:t>Приоритетная проблема: боль в эпигастральной области.</w:t>
      </w:r>
    </w:p>
    <w:p w:rsidR="00CD4F11" w:rsidRDefault="00CD4F11" w:rsidP="00E315B0">
      <w:pPr>
        <w:pStyle w:val="aa"/>
        <w:tabs>
          <w:tab w:val="left" w:pos="1134"/>
        </w:tabs>
        <w:ind w:firstLine="709"/>
        <w:jc w:val="both"/>
      </w:pPr>
      <w:r w:rsidRPr="004A7D8A">
        <w:t>2. Краткосрочная цель: пациент отметит уменьшение интенсивности болей к 7-у дню</w:t>
      </w:r>
      <w:r w:rsidR="00115EC9">
        <w:t xml:space="preserve"> </w:t>
      </w:r>
      <w:r w:rsidRPr="004A7D8A">
        <w:t>лечения. Долгосрочная цель: к моменту выписки у пацие</w:t>
      </w:r>
      <w:r w:rsidR="00115EC9">
        <w:t>нта наступит адаптация к состоя</w:t>
      </w:r>
      <w:r w:rsidRPr="004A7D8A">
        <w:t>нию своего здоровья.</w:t>
      </w:r>
    </w:p>
    <w:p w:rsidR="00D116E3" w:rsidRPr="004A7D8A" w:rsidRDefault="00D116E3" w:rsidP="004A7D8A">
      <w:pPr>
        <w:pStyle w:val="aa"/>
        <w:jc w:val="both"/>
      </w:pPr>
    </w:p>
    <w:tbl>
      <w:tblPr>
        <w:tblStyle w:val="afb"/>
        <w:tblW w:w="0" w:type="auto"/>
        <w:tblLook w:val="04A0"/>
      </w:tblPr>
      <w:tblGrid>
        <w:gridCol w:w="4785"/>
        <w:gridCol w:w="4786"/>
      </w:tblGrid>
      <w:tr w:rsidR="00115EC9" w:rsidTr="00E315B0">
        <w:tc>
          <w:tcPr>
            <w:tcW w:w="4785" w:type="dxa"/>
            <w:vAlign w:val="center"/>
          </w:tcPr>
          <w:p w:rsidR="00115EC9" w:rsidRDefault="00115EC9" w:rsidP="00E315B0">
            <w:pPr>
              <w:pStyle w:val="aa"/>
              <w:jc w:val="center"/>
            </w:pPr>
            <w:r w:rsidRPr="004A7D8A">
              <w:rPr>
                <w:sz w:val="24"/>
                <w:szCs w:val="24"/>
              </w:rPr>
              <w:t>План</w:t>
            </w:r>
          </w:p>
        </w:tc>
        <w:tc>
          <w:tcPr>
            <w:tcW w:w="4786" w:type="dxa"/>
            <w:vAlign w:val="center"/>
          </w:tcPr>
          <w:p w:rsidR="00115EC9" w:rsidRDefault="00115EC9" w:rsidP="00E315B0">
            <w:pPr>
              <w:pStyle w:val="aa"/>
              <w:jc w:val="center"/>
            </w:pPr>
            <w:r w:rsidRPr="004A7D8A">
              <w:rPr>
                <w:sz w:val="24"/>
                <w:szCs w:val="24"/>
              </w:rPr>
              <w:t>Мотивация</w:t>
            </w:r>
          </w:p>
        </w:tc>
      </w:tr>
      <w:tr w:rsidR="00115EC9" w:rsidTr="00E315B0">
        <w:tc>
          <w:tcPr>
            <w:tcW w:w="4785" w:type="dxa"/>
            <w:vAlign w:val="center"/>
          </w:tcPr>
          <w:p w:rsidR="00115EC9" w:rsidRPr="004A7D8A" w:rsidRDefault="00115EC9" w:rsidP="00E315B0">
            <w:pPr>
              <w:pStyle w:val="aa"/>
              <w:rPr>
                <w:sz w:val="24"/>
                <w:szCs w:val="24"/>
              </w:rPr>
            </w:pPr>
            <w:r w:rsidRPr="004A7D8A">
              <w:rPr>
                <w:sz w:val="24"/>
                <w:szCs w:val="24"/>
              </w:rPr>
              <w:t>1. Своевременно и правильно выполнять назначе-</w:t>
            </w:r>
            <w:r w:rsidRPr="004A7D8A">
              <w:t xml:space="preserve"> </w:t>
            </w:r>
            <w:r w:rsidRPr="004A7D8A">
              <w:rPr>
                <w:sz w:val="24"/>
                <w:szCs w:val="24"/>
              </w:rPr>
              <w:t>ния врача</w:t>
            </w:r>
          </w:p>
          <w:p w:rsidR="00115EC9" w:rsidRPr="004A7D8A" w:rsidRDefault="00115EC9" w:rsidP="00E315B0">
            <w:pPr>
              <w:pStyle w:val="aa"/>
            </w:pPr>
          </w:p>
        </w:tc>
        <w:tc>
          <w:tcPr>
            <w:tcW w:w="4786" w:type="dxa"/>
            <w:vAlign w:val="center"/>
          </w:tcPr>
          <w:p w:rsidR="00115EC9" w:rsidRPr="004A7D8A" w:rsidRDefault="00115EC9" w:rsidP="00E315B0">
            <w:pPr>
              <w:pStyle w:val="aa"/>
              <w:rPr>
                <w:sz w:val="24"/>
                <w:szCs w:val="24"/>
              </w:rPr>
            </w:pPr>
            <w:r w:rsidRPr="004A7D8A">
              <w:rPr>
                <w:sz w:val="24"/>
                <w:szCs w:val="24"/>
              </w:rPr>
              <w:t>Для эффективного лечения</w:t>
            </w:r>
          </w:p>
          <w:p w:rsidR="00115EC9" w:rsidRPr="004A7D8A" w:rsidRDefault="00115EC9" w:rsidP="00E315B0">
            <w:pPr>
              <w:pStyle w:val="aa"/>
            </w:pPr>
          </w:p>
        </w:tc>
      </w:tr>
      <w:tr w:rsidR="00115EC9" w:rsidTr="00E315B0">
        <w:tc>
          <w:tcPr>
            <w:tcW w:w="4785" w:type="dxa"/>
            <w:vAlign w:val="center"/>
          </w:tcPr>
          <w:p w:rsidR="00115EC9" w:rsidRPr="004A7D8A" w:rsidRDefault="00115EC9" w:rsidP="00E315B0">
            <w:pPr>
              <w:pStyle w:val="aa"/>
              <w:rPr>
                <w:sz w:val="24"/>
                <w:szCs w:val="24"/>
              </w:rPr>
            </w:pPr>
            <w:r w:rsidRPr="004A7D8A">
              <w:rPr>
                <w:sz w:val="24"/>
                <w:szCs w:val="24"/>
              </w:rPr>
              <w:t>2. Обеспечить пациенту покой, уделять повышенное внимание, сочувствие</w:t>
            </w:r>
          </w:p>
          <w:p w:rsidR="00115EC9" w:rsidRPr="004A7D8A" w:rsidRDefault="00115EC9" w:rsidP="00E315B0">
            <w:pPr>
              <w:pStyle w:val="aa"/>
            </w:pPr>
          </w:p>
        </w:tc>
        <w:tc>
          <w:tcPr>
            <w:tcW w:w="4786" w:type="dxa"/>
            <w:vAlign w:val="center"/>
          </w:tcPr>
          <w:p w:rsidR="00115EC9" w:rsidRPr="004A7D8A" w:rsidRDefault="00115EC9" w:rsidP="00E315B0">
            <w:pPr>
              <w:pStyle w:val="aa"/>
              <w:rPr>
                <w:sz w:val="24"/>
                <w:szCs w:val="24"/>
              </w:rPr>
            </w:pPr>
            <w:r w:rsidRPr="004A7D8A">
              <w:rPr>
                <w:sz w:val="24"/>
                <w:szCs w:val="24"/>
              </w:rPr>
              <w:t>Д</w:t>
            </w:r>
            <w:r w:rsidR="00D116E3">
              <w:rPr>
                <w:sz w:val="24"/>
                <w:szCs w:val="24"/>
              </w:rPr>
              <w:t>ля создания психологической под</w:t>
            </w:r>
            <w:r w:rsidRPr="004A7D8A">
              <w:rPr>
                <w:sz w:val="24"/>
                <w:szCs w:val="24"/>
              </w:rPr>
              <w:t>держки и комфорта</w:t>
            </w:r>
          </w:p>
          <w:p w:rsidR="00115EC9" w:rsidRPr="004A7D8A" w:rsidRDefault="00115EC9" w:rsidP="00E315B0">
            <w:pPr>
              <w:pStyle w:val="aa"/>
            </w:pPr>
          </w:p>
        </w:tc>
      </w:tr>
      <w:tr w:rsidR="00115EC9" w:rsidTr="00E315B0">
        <w:tc>
          <w:tcPr>
            <w:tcW w:w="4785" w:type="dxa"/>
            <w:vAlign w:val="center"/>
          </w:tcPr>
          <w:p w:rsidR="00115EC9" w:rsidRPr="004A7D8A" w:rsidRDefault="00D116E3" w:rsidP="00E315B0">
            <w:pPr>
              <w:pStyle w:val="aa"/>
            </w:pPr>
            <w:r w:rsidRPr="004A7D8A">
              <w:rPr>
                <w:sz w:val="24"/>
                <w:szCs w:val="24"/>
              </w:rPr>
              <w:t>3. Обеспечить соблюдение постельного режима</w:t>
            </w:r>
          </w:p>
        </w:tc>
        <w:tc>
          <w:tcPr>
            <w:tcW w:w="4786" w:type="dxa"/>
            <w:vAlign w:val="center"/>
          </w:tcPr>
          <w:p w:rsidR="00115EC9" w:rsidRPr="004A7D8A" w:rsidRDefault="00D116E3" w:rsidP="00E315B0">
            <w:pPr>
              <w:pStyle w:val="aa"/>
            </w:pPr>
            <w:r w:rsidRPr="004A7D8A">
              <w:rPr>
                <w:sz w:val="24"/>
                <w:szCs w:val="24"/>
              </w:rPr>
              <w:t>Для создания физического поко</w:t>
            </w:r>
            <w:r>
              <w:rPr>
                <w:sz w:val="24"/>
                <w:szCs w:val="24"/>
              </w:rPr>
              <w:t>я</w:t>
            </w:r>
          </w:p>
        </w:tc>
      </w:tr>
      <w:tr w:rsidR="00115EC9" w:rsidTr="00E315B0">
        <w:tc>
          <w:tcPr>
            <w:tcW w:w="4785" w:type="dxa"/>
            <w:vAlign w:val="center"/>
          </w:tcPr>
          <w:p w:rsidR="00115EC9" w:rsidRPr="004A7D8A" w:rsidRDefault="00D116E3" w:rsidP="00E315B0">
            <w:pPr>
              <w:pStyle w:val="aa"/>
            </w:pPr>
            <w:r w:rsidRPr="004A7D8A">
              <w:rPr>
                <w:sz w:val="24"/>
                <w:szCs w:val="24"/>
              </w:rPr>
              <w:t>4. Обеспечить высококалорийное, легкоусвояемое богатое белками и витаминами питание</w:t>
            </w:r>
          </w:p>
        </w:tc>
        <w:tc>
          <w:tcPr>
            <w:tcW w:w="4786" w:type="dxa"/>
            <w:vAlign w:val="center"/>
          </w:tcPr>
          <w:p w:rsidR="00115EC9" w:rsidRPr="004A7D8A" w:rsidRDefault="00D116E3" w:rsidP="00E315B0">
            <w:pPr>
              <w:pStyle w:val="aa"/>
            </w:pPr>
            <w:r w:rsidRPr="004A7D8A">
              <w:rPr>
                <w:sz w:val="24"/>
                <w:szCs w:val="24"/>
              </w:rPr>
              <w:t>Для улучшения пищеварения</w:t>
            </w:r>
          </w:p>
        </w:tc>
      </w:tr>
      <w:tr w:rsidR="00D116E3" w:rsidTr="00E315B0">
        <w:tc>
          <w:tcPr>
            <w:tcW w:w="4785" w:type="dxa"/>
            <w:vAlign w:val="center"/>
          </w:tcPr>
          <w:p w:rsidR="00D116E3" w:rsidRPr="004A7D8A" w:rsidRDefault="00D116E3" w:rsidP="00E315B0">
            <w:pPr>
              <w:pStyle w:val="aa"/>
            </w:pPr>
            <w:r>
              <w:rPr>
                <w:sz w:val="24"/>
                <w:szCs w:val="24"/>
              </w:rPr>
              <w:t xml:space="preserve">5. </w:t>
            </w:r>
            <w:r w:rsidRPr="004A7D8A">
              <w:rPr>
                <w:sz w:val="24"/>
                <w:szCs w:val="24"/>
              </w:rPr>
              <w:t>Организовать кормление пациента в постели</w:t>
            </w:r>
          </w:p>
        </w:tc>
        <w:tc>
          <w:tcPr>
            <w:tcW w:w="4786" w:type="dxa"/>
            <w:vAlign w:val="center"/>
          </w:tcPr>
          <w:p w:rsidR="00D116E3" w:rsidRPr="004A7D8A" w:rsidRDefault="00D116E3" w:rsidP="00E315B0">
            <w:pPr>
              <w:pStyle w:val="aa"/>
            </w:pPr>
            <w:r w:rsidRPr="004A7D8A">
              <w:rPr>
                <w:sz w:val="24"/>
                <w:szCs w:val="24"/>
              </w:rPr>
              <w:t>Для комфортного состояния</w:t>
            </w:r>
          </w:p>
        </w:tc>
      </w:tr>
      <w:tr w:rsidR="00D116E3" w:rsidTr="00E315B0">
        <w:tc>
          <w:tcPr>
            <w:tcW w:w="4785" w:type="dxa"/>
            <w:vAlign w:val="center"/>
          </w:tcPr>
          <w:p w:rsidR="00D116E3" w:rsidRPr="004A7D8A" w:rsidRDefault="00D116E3" w:rsidP="00E315B0">
            <w:pPr>
              <w:pStyle w:val="aa"/>
            </w:pPr>
            <w:r w:rsidRPr="004A7D8A">
              <w:rPr>
                <w:sz w:val="24"/>
                <w:szCs w:val="24"/>
              </w:rPr>
              <w:t>6. Помочь пациенту при физиолог</w:t>
            </w:r>
            <w:r>
              <w:rPr>
                <w:sz w:val="24"/>
                <w:szCs w:val="24"/>
              </w:rPr>
              <w:t>ических отправ</w:t>
            </w:r>
            <w:r w:rsidRPr="004A7D8A">
              <w:rPr>
                <w:sz w:val="24"/>
                <w:szCs w:val="24"/>
              </w:rPr>
              <w:t xml:space="preserve">лениях и гигиенических процедурах; </w:t>
            </w:r>
            <w:r w:rsidRPr="004A7D8A">
              <w:rPr>
                <w:sz w:val="24"/>
                <w:szCs w:val="24"/>
              </w:rPr>
              <w:lastRenderedPageBreak/>
              <w:t>осуществлять</w:t>
            </w:r>
            <w:r w:rsidRPr="004A7D8A">
              <w:t xml:space="preserve"> </w:t>
            </w:r>
            <w:r w:rsidRPr="004A7D8A">
              <w:rPr>
                <w:sz w:val="24"/>
                <w:szCs w:val="24"/>
              </w:rPr>
              <w:t>профилактику пролежней; своевременно менять</w:t>
            </w:r>
            <w:r w:rsidR="00E315B0">
              <w:rPr>
                <w:sz w:val="24"/>
                <w:szCs w:val="24"/>
              </w:rPr>
              <w:t xml:space="preserve"> </w:t>
            </w:r>
            <w:r w:rsidRPr="004A7D8A">
              <w:rPr>
                <w:sz w:val="24"/>
                <w:szCs w:val="24"/>
              </w:rPr>
              <w:t>постельное и нательное белье</w:t>
            </w:r>
          </w:p>
        </w:tc>
        <w:tc>
          <w:tcPr>
            <w:tcW w:w="4786" w:type="dxa"/>
            <w:vAlign w:val="center"/>
          </w:tcPr>
          <w:p w:rsidR="00D116E3" w:rsidRPr="004A7D8A" w:rsidRDefault="00D116E3" w:rsidP="00E315B0">
            <w:pPr>
              <w:pStyle w:val="aa"/>
              <w:rPr>
                <w:sz w:val="24"/>
                <w:szCs w:val="24"/>
              </w:rPr>
            </w:pPr>
            <w:r w:rsidRPr="004A7D8A">
              <w:rPr>
                <w:sz w:val="24"/>
                <w:szCs w:val="24"/>
              </w:rPr>
              <w:lastRenderedPageBreak/>
              <w:t>Для</w:t>
            </w:r>
            <w:r>
              <w:rPr>
                <w:sz w:val="24"/>
                <w:szCs w:val="24"/>
              </w:rPr>
              <w:t xml:space="preserve"> поддержания гигиенических усло</w:t>
            </w:r>
            <w:r w:rsidRPr="004A7D8A">
              <w:rPr>
                <w:sz w:val="24"/>
                <w:szCs w:val="24"/>
              </w:rPr>
              <w:t>вий и профилактики осложнений</w:t>
            </w:r>
          </w:p>
          <w:p w:rsidR="00D116E3" w:rsidRPr="004A7D8A" w:rsidRDefault="00D116E3" w:rsidP="00E315B0">
            <w:pPr>
              <w:pStyle w:val="aa"/>
            </w:pPr>
          </w:p>
        </w:tc>
      </w:tr>
      <w:tr w:rsidR="00D116E3" w:rsidTr="00E315B0">
        <w:tc>
          <w:tcPr>
            <w:tcW w:w="4785" w:type="dxa"/>
            <w:vAlign w:val="center"/>
          </w:tcPr>
          <w:p w:rsidR="00D116E3" w:rsidRPr="004A7D8A" w:rsidRDefault="00D01BDA" w:rsidP="00E315B0">
            <w:pPr>
              <w:pStyle w:val="aa"/>
            </w:pPr>
            <w:r>
              <w:rPr>
                <w:sz w:val="24"/>
                <w:szCs w:val="24"/>
              </w:rPr>
              <w:lastRenderedPageBreak/>
              <w:t xml:space="preserve">7. </w:t>
            </w:r>
            <w:r w:rsidRPr="004A7D8A">
              <w:rPr>
                <w:sz w:val="24"/>
                <w:szCs w:val="24"/>
              </w:rPr>
              <w:t>Обеспечить регулярное проветривание палаты</w:t>
            </w:r>
            <w:r>
              <w:rPr>
                <w:sz w:val="24"/>
                <w:szCs w:val="24"/>
              </w:rPr>
              <w:t xml:space="preserve"> и </w:t>
            </w:r>
            <w:r w:rsidRPr="004A7D8A">
              <w:rPr>
                <w:sz w:val="24"/>
                <w:szCs w:val="24"/>
              </w:rPr>
              <w:t>уборку</w:t>
            </w:r>
          </w:p>
        </w:tc>
        <w:tc>
          <w:tcPr>
            <w:tcW w:w="4786" w:type="dxa"/>
            <w:vAlign w:val="center"/>
          </w:tcPr>
          <w:p w:rsidR="00D01BDA" w:rsidRPr="004A7D8A" w:rsidRDefault="00D01BDA" w:rsidP="00E315B0">
            <w:pPr>
              <w:pStyle w:val="aa"/>
              <w:rPr>
                <w:sz w:val="24"/>
                <w:szCs w:val="24"/>
              </w:rPr>
            </w:pPr>
            <w:r w:rsidRPr="004A7D8A">
              <w:rPr>
                <w:sz w:val="24"/>
                <w:szCs w:val="24"/>
              </w:rPr>
              <w:t>Для предупреждения внутрибольничной</w:t>
            </w:r>
          </w:p>
          <w:p w:rsidR="00D116E3" w:rsidRPr="004A7D8A" w:rsidRDefault="00D01BDA" w:rsidP="00E315B0">
            <w:pPr>
              <w:pStyle w:val="aa"/>
            </w:pPr>
            <w:r w:rsidRPr="004A7D8A">
              <w:rPr>
                <w:sz w:val="24"/>
                <w:szCs w:val="24"/>
              </w:rPr>
              <w:t>Инфекции</w:t>
            </w:r>
          </w:p>
        </w:tc>
      </w:tr>
      <w:tr w:rsidR="00D01BDA" w:rsidTr="00E315B0">
        <w:tc>
          <w:tcPr>
            <w:tcW w:w="4785" w:type="dxa"/>
            <w:vAlign w:val="center"/>
          </w:tcPr>
          <w:p w:rsidR="00D01BDA" w:rsidRPr="004A7D8A" w:rsidRDefault="00D01BDA" w:rsidP="00E315B0">
            <w:pPr>
              <w:pStyle w:val="aa"/>
            </w:pPr>
            <w:r w:rsidRPr="004A7D8A">
              <w:rPr>
                <w:sz w:val="24"/>
                <w:szCs w:val="24"/>
              </w:rPr>
              <w:t>8. Контролировать температуру, массу тела, пульс</w:t>
            </w:r>
            <w:r>
              <w:rPr>
                <w:sz w:val="24"/>
                <w:szCs w:val="24"/>
              </w:rPr>
              <w:t>,</w:t>
            </w:r>
            <w:r w:rsidRPr="004A7D8A">
              <w:t xml:space="preserve"> </w:t>
            </w:r>
            <w:r w:rsidRPr="004A7D8A">
              <w:rPr>
                <w:sz w:val="24"/>
                <w:szCs w:val="24"/>
              </w:rPr>
              <w:t>АД, стул, цвет мочи</w:t>
            </w:r>
          </w:p>
        </w:tc>
        <w:tc>
          <w:tcPr>
            <w:tcW w:w="4786" w:type="dxa"/>
            <w:vAlign w:val="center"/>
          </w:tcPr>
          <w:p w:rsidR="00D01BDA" w:rsidRPr="004A7D8A" w:rsidRDefault="00D01BDA" w:rsidP="00E315B0">
            <w:pPr>
              <w:pStyle w:val="aa"/>
            </w:pPr>
            <w:r w:rsidRPr="004A7D8A">
              <w:rPr>
                <w:sz w:val="24"/>
                <w:szCs w:val="24"/>
              </w:rPr>
              <w:t>Для контроля состояния</w:t>
            </w:r>
          </w:p>
        </w:tc>
      </w:tr>
      <w:tr w:rsidR="00D01BDA" w:rsidTr="00E315B0">
        <w:tc>
          <w:tcPr>
            <w:tcW w:w="4785" w:type="dxa"/>
            <w:vAlign w:val="center"/>
          </w:tcPr>
          <w:p w:rsidR="00D01BDA" w:rsidRPr="004A7D8A" w:rsidRDefault="00D01BDA" w:rsidP="00E315B0">
            <w:pPr>
              <w:pStyle w:val="aa"/>
            </w:pPr>
            <w:r w:rsidRPr="004A7D8A">
              <w:rPr>
                <w:sz w:val="24"/>
                <w:szCs w:val="24"/>
              </w:rPr>
              <w:t>9. Оказывать неотложную помощь при рвоте</w:t>
            </w:r>
          </w:p>
        </w:tc>
        <w:tc>
          <w:tcPr>
            <w:tcW w:w="4786" w:type="dxa"/>
            <w:vAlign w:val="center"/>
          </w:tcPr>
          <w:p w:rsidR="00D01BDA" w:rsidRPr="004A7D8A" w:rsidRDefault="00D01BDA" w:rsidP="00E315B0">
            <w:pPr>
              <w:pStyle w:val="aa"/>
            </w:pPr>
            <w:r w:rsidRPr="004A7D8A">
              <w:rPr>
                <w:sz w:val="24"/>
                <w:szCs w:val="24"/>
              </w:rPr>
              <w:t>Для предотвращения аспир</w:t>
            </w:r>
            <w:r>
              <w:rPr>
                <w:sz w:val="24"/>
                <w:szCs w:val="24"/>
              </w:rPr>
              <w:t>ации рвот</w:t>
            </w:r>
            <w:r w:rsidRPr="004A7D8A">
              <w:rPr>
                <w:sz w:val="24"/>
                <w:szCs w:val="24"/>
              </w:rPr>
              <w:t>ных масс</w:t>
            </w:r>
          </w:p>
        </w:tc>
      </w:tr>
      <w:tr w:rsidR="00D01BDA" w:rsidTr="00E315B0">
        <w:tc>
          <w:tcPr>
            <w:tcW w:w="4785" w:type="dxa"/>
            <w:vAlign w:val="center"/>
          </w:tcPr>
          <w:p w:rsidR="00D01BDA" w:rsidRPr="004A7D8A" w:rsidRDefault="00D01BDA" w:rsidP="00E315B0">
            <w:pPr>
              <w:pStyle w:val="aa"/>
            </w:pPr>
            <w:r>
              <w:rPr>
                <w:sz w:val="24"/>
                <w:szCs w:val="24"/>
              </w:rPr>
              <w:t xml:space="preserve">10. </w:t>
            </w:r>
            <w:r w:rsidRPr="004A7D8A">
              <w:rPr>
                <w:sz w:val="24"/>
                <w:szCs w:val="24"/>
              </w:rPr>
              <w:t>Обучить родственников контакту и уходу за</w:t>
            </w:r>
            <w:r>
              <w:rPr>
                <w:sz w:val="24"/>
                <w:szCs w:val="24"/>
              </w:rPr>
              <w:t xml:space="preserve"> </w:t>
            </w:r>
            <w:r w:rsidRPr="004A7D8A">
              <w:rPr>
                <w:sz w:val="24"/>
                <w:szCs w:val="24"/>
              </w:rPr>
              <w:t>онкологическим больным</w:t>
            </w:r>
          </w:p>
        </w:tc>
        <w:tc>
          <w:tcPr>
            <w:tcW w:w="4786" w:type="dxa"/>
            <w:vAlign w:val="center"/>
          </w:tcPr>
          <w:p w:rsidR="00D01BDA" w:rsidRPr="004A7D8A" w:rsidRDefault="00D01BDA" w:rsidP="00E315B0">
            <w:pPr>
              <w:pStyle w:val="aa"/>
            </w:pPr>
            <w:r w:rsidRPr="004A7D8A">
              <w:rPr>
                <w:sz w:val="24"/>
                <w:szCs w:val="24"/>
              </w:rPr>
              <w:t>Для профилактики пролежней, инфекционных осложнений, аспирации рвотных масс</w:t>
            </w:r>
          </w:p>
        </w:tc>
      </w:tr>
    </w:tbl>
    <w:p w:rsidR="00CD4F11" w:rsidRPr="004A7D8A" w:rsidRDefault="0057135C" w:rsidP="004A7D8A">
      <w:pPr>
        <w:pStyle w:val="aa"/>
        <w:jc w:val="both"/>
      </w:pPr>
      <w:r w:rsidRPr="004A7D8A">
        <w:t xml:space="preserve">    </w:t>
      </w:r>
    </w:p>
    <w:p w:rsidR="00CD4F11" w:rsidRPr="004A7D8A" w:rsidRDefault="00CD4F11" w:rsidP="00E315B0">
      <w:pPr>
        <w:pStyle w:val="aa"/>
        <w:ind w:firstLine="708"/>
        <w:jc w:val="both"/>
      </w:pPr>
      <w:r w:rsidRPr="004A7D8A">
        <w:t>Оценка: пациент отметил улучшение самочувствия</w:t>
      </w:r>
      <w:r w:rsidR="00D01BDA">
        <w:t>, значительное уменьшение интен</w:t>
      </w:r>
      <w:r w:rsidRPr="004A7D8A">
        <w:t>сивности болей. Цель достигнута.</w:t>
      </w:r>
    </w:p>
    <w:p w:rsidR="00CD4F11" w:rsidRPr="004A7D8A" w:rsidRDefault="00CD4F11" w:rsidP="00E315B0">
      <w:pPr>
        <w:pStyle w:val="aa"/>
        <w:ind w:firstLine="708"/>
        <w:jc w:val="both"/>
      </w:pPr>
      <w:r w:rsidRPr="004A7D8A">
        <w:t>Профилактика. Первичная: исключение вредных привычек, здоровый образ жизни,</w:t>
      </w:r>
      <w:r w:rsidR="00D01BDA">
        <w:t xml:space="preserve"> </w:t>
      </w:r>
      <w:r w:rsidRPr="004A7D8A">
        <w:t>рациональное питание, правильное и своевременное лечение предраковых заболеваний (полипы желудка и др.). Диспансерное наблюдение за больными с ахилическими гастритами,</w:t>
      </w:r>
      <w:r w:rsidR="00D01BDA">
        <w:t xml:space="preserve"> </w:t>
      </w:r>
      <w:r w:rsidRPr="004A7D8A">
        <w:t>язвенной болезнью. Вторичная: больные раком желудка находятся на диспансерном учете в</w:t>
      </w:r>
      <w:r w:rsidR="00D01BDA">
        <w:t xml:space="preserve"> </w:t>
      </w:r>
      <w:r w:rsidRPr="004A7D8A">
        <w:t>онкодиспансере.</w:t>
      </w:r>
    </w:p>
    <w:p w:rsidR="00E315B0" w:rsidRDefault="00E315B0" w:rsidP="00084866">
      <w:pPr>
        <w:pStyle w:val="aa"/>
        <w:rPr>
          <w:b/>
        </w:rPr>
      </w:pPr>
    </w:p>
    <w:p w:rsidR="00A96810" w:rsidRPr="00A96810" w:rsidRDefault="00A96810" w:rsidP="00A96810">
      <w:pPr>
        <w:pStyle w:val="aa"/>
        <w:ind w:left="360"/>
        <w:rPr>
          <w:b/>
        </w:rPr>
      </w:pPr>
    </w:p>
    <w:p w:rsidR="00A96810" w:rsidRDefault="00A96810" w:rsidP="00A96810">
      <w:pPr>
        <w:pStyle w:val="aa"/>
      </w:pPr>
    </w:p>
    <w:p w:rsidR="00A96810" w:rsidRPr="00A96810" w:rsidRDefault="00A96810" w:rsidP="00A96810">
      <w:pPr>
        <w:pStyle w:val="aa"/>
        <w:rPr>
          <w:b/>
        </w:rPr>
      </w:pPr>
    </w:p>
    <w:sectPr w:rsidR="00A96810" w:rsidRPr="00A96810" w:rsidSect="0045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75" w:rsidRDefault="003B7875" w:rsidP="000717A1">
      <w:r>
        <w:separator/>
      </w:r>
    </w:p>
  </w:endnote>
  <w:endnote w:type="continuationSeparator" w:id="1">
    <w:p w:rsidR="003B7875" w:rsidRDefault="003B7875" w:rsidP="0007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75" w:rsidRDefault="003B7875" w:rsidP="000717A1">
      <w:r>
        <w:separator/>
      </w:r>
    </w:p>
  </w:footnote>
  <w:footnote w:type="continuationSeparator" w:id="1">
    <w:p w:rsidR="003B7875" w:rsidRDefault="003B7875" w:rsidP="00071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5E4"/>
    <w:multiLevelType w:val="hybridMultilevel"/>
    <w:tmpl w:val="64523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F5379"/>
    <w:multiLevelType w:val="hybridMultilevel"/>
    <w:tmpl w:val="03EE19DC"/>
    <w:lvl w:ilvl="0" w:tplc="201C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F1F69"/>
    <w:multiLevelType w:val="hybridMultilevel"/>
    <w:tmpl w:val="6568E43E"/>
    <w:lvl w:ilvl="0" w:tplc="201C46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E84AC7"/>
    <w:multiLevelType w:val="hybridMultilevel"/>
    <w:tmpl w:val="92BC9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087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7A1C25"/>
    <w:multiLevelType w:val="hybridMultilevel"/>
    <w:tmpl w:val="E5A47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B71A16"/>
    <w:multiLevelType w:val="hybridMultilevel"/>
    <w:tmpl w:val="CBFC17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B20A7F"/>
    <w:multiLevelType w:val="hybridMultilevel"/>
    <w:tmpl w:val="DC761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034345"/>
    <w:multiLevelType w:val="hybridMultilevel"/>
    <w:tmpl w:val="E60872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6C36C7"/>
    <w:multiLevelType w:val="hybridMultilevel"/>
    <w:tmpl w:val="5D504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B75D3C"/>
    <w:multiLevelType w:val="hybridMultilevel"/>
    <w:tmpl w:val="FE3E311A"/>
    <w:lvl w:ilvl="0" w:tplc="2A6CC7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434B09"/>
    <w:multiLevelType w:val="hybridMultilevel"/>
    <w:tmpl w:val="D2C0A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3333AD"/>
    <w:multiLevelType w:val="hybridMultilevel"/>
    <w:tmpl w:val="7C3EDE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2666A8"/>
    <w:multiLevelType w:val="hybridMultilevel"/>
    <w:tmpl w:val="016A92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9B304E"/>
    <w:multiLevelType w:val="hybridMultilevel"/>
    <w:tmpl w:val="9AF2BC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4F1965"/>
    <w:multiLevelType w:val="hybridMultilevel"/>
    <w:tmpl w:val="BD784E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6144CA"/>
    <w:multiLevelType w:val="hybridMultilevel"/>
    <w:tmpl w:val="CE760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8B3A3F"/>
    <w:multiLevelType w:val="hybridMultilevel"/>
    <w:tmpl w:val="87C87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1"/>
  </w:num>
  <w:num w:numId="5">
    <w:abstractNumId w:val="0"/>
  </w:num>
  <w:num w:numId="6">
    <w:abstractNumId w:val="13"/>
  </w:num>
  <w:num w:numId="7">
    <w:abstractNumId w:val="6"/>
  </w:num>
  <w:num w:numId="8">
    <w:abstractNumId w:val="16"/>
  </w:num>
  <w:num w:numId="9">
    <w:abstractNumId w:val="12"/>
  </w:num>
  <w:num w:numId="10">
    <w:abstractNumId w:val="14"/>
  </w:num>
  <w:num w:numId="11">
    <w:abstractNumId w:val="8"/>
  </w:num>
  <w:num w:numId="12">
    <w:abstractNumId w:val="9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7A1"/>
    <w:rsid w:val="00015DBB"/>
    <w:rsid w:val="000717A1"/>
    <w:rsid w:val="00084866"/>
    <w:rsid w:val="000C7AFD"/>
    <w:rsid w:val="000E5A7F"/>
    <w:rsid w:val="00115EC9"/>
    <w:rsid w:val="001E6BE6"/>
    <w:rsid w:val="002229DE"/>
    <w:rsid w:val="00263738"/>
    <w:rsid w:val="002A3402"/>
    <w:rsid w:val="003B7875"/>
    <w:rsid w:val="00451749"/>
    <w:rsid w:val="004A229B"/>
    <w:rsid w:val="004A7D8A"/>
    <w:rsid w:val="004C160D"/>
    <w:rsid w:val="004D203E"/>
    <w:rsid w:val="004F6B9A"/>
    <w:rsid w:val="0057135C"/>
    <w:rsid w:val="0072378D"/>
    <w:rsid w:val="007B62AD"/>
    <w:rsid w:val="00816542"/>
    <w:rsid w:val="00995EDE"/>
    <w:rsid w:val="00A34F96"/>
    <w:rsid w:val="00A96810"/>
    <w:rsid w:val="00AC55CF"/>
    <w:rsid w:val="00AD7086"/>
    <w:rsid w:val="00BD25B4"/>
    <w:rsid w:val="00CD4F11"/>
    <w:rsid w:val="00D01BDA"/>
    <w:rsid w:val="00D116E3"/>
    <w:rsid w:val="00D20274"/>
    <w:rsid w:val="00D41DBF"/>
    <w:rsid w:val="00DB6D84"/>
    <w:rsid w:val="00E315B0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8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B62A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A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A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A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A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A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A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A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A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62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B62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B62A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B62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B62AD"/>
    <w:rPr>
      <w:b/>
      <w:bCs/>
      <w:spacing w:val="0"/>
    </w:rPr>
  </w:style>
  <w:style w:type="character" w:styleId="a9">
    <w:name w:val="Emphasis"/>
    <w:uiPriority w:val="20"/>
    <w:qFormat/>
    <w:rsid w:val="007B62AD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B62AD"/>
  </w:style>
  <w:style w:type="character" w:customStyle="1" w:styleId="ab">
    <w:name w:val="Без интервала Знак"/>
    <w:basedOn w:val="a0"/>
    <w:link w:val="aa"/>
    <w:uiPriority w:val="1"/>
    <w:rsid w:val="007B62AD"/>
  </w:style>
  <w:style w:type="paragraph" w:styleId="ac">
    <w:name w:val="List Paragraph"/>
    <w:basedOn w:val="a"/>
    <w:uiPriority w:val="34"/>
    <w:qFormat/>
    <w:rsid w:val="007B62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B62AD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B62A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B62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B62A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B62AD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B62AD"/>
    <w:rPr>
      <w:smallCaps/>
    </w:rPr>
  </w:style>
  <w:style w:type="character" w:styleId="af2">
    <w:name w:val="Intense Reference"/>
    <w:uiPriority w:val="32"/>
    <w:qFormat/>
    <w:rsid w:val="007B62AD"/>
    <w:rPr>
      <w:b/>
      <w:bCs/>
      <w:smallCaps/>
      <w:color w:val="auto"/>
    </w:rPr>
  </w:style>
  <w:style w:type="character" w:styleId="af3">
    <w:name w:val="Book Title"/>
    <w:uiPriority w:val="33"/>
    <w:qFormat/>
    <w:rsid w:val="007B62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B62A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717A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717A1"/>
  </w:style>
  <w:style w:type="paragraph" w:styleId="af7">
    <w:name w:val="footer"/>
    <w:basedOn w:val="a"/>
    <w:link w:val="af8"/>
    <w:uiPriority w:val="99"/>
    <w:semiHidden/>
    <w:unhideWhenUsed/>
    <w:rsid w:val="000717A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717A1"/>
  </w:style>
  <w:style w:type="paragraph" w:styleId="af9">
    <w:name w:val="Balloon Text"/>
    <w:basedOn w:val="a"/>
    <w:link w:val="afa"/>
    <w:uiPriority w:val="99"/>
    <w:semiHidden/>
    <w:unhideWhenUsed/>
    <w:rsid w:val="000717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17A1"/>
    <w:rPr>
      <w:rFonts w:ascii="Tahoma" w:hAnsi="Tahoma" w:cs="Tahoma"/>
      <w:sz w:val="16"/>
      <w:szCs w:val="16"/>
    </w:rPr>
  </w:style>
  <w:style w:type="table" w:styleId="afb">
    <w:name w:val="Table Grid"/>
    <w:basedOn w:val="a1"/>
    <w:rsid w:val="00FE008B"/>
    <w:pPr>
      <w:spacing w:after="0" w:line="240" w:lineRule="auto"/>
      <w:ind w:firstLine="0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 Indent"/>
    <w:basedOn w:val="a"/>
    <w:link w:val="afd"/>
    <w:rsid w:val="00084866"/>
    <w:pPr>
      <w:tabs>
        <w:tab w:val="left" w:pos="426"/>
      </w:tabs>
      <w:ind w:left="426"/>
      <w:jc w:val="both"/>
    </w:pPr>
    <w:rPr>
      <w:szCs w:val="20"/>
    </w:rPr>
  </w:style>
  <w:style w:type="character" w:customStyle="1" w:styleId="afd">
    <w:name w:val="Основной текст с отступом Знак"/>
    <w:basedOn w:val="a0"/>
    <w:link w:val="afc"/>
    <w:rsid w:val="00084866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 04</vt:lpstr>
    </vt:vector>
  </TitlesOfParts>
  <Company>ПМ 02</Company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 04</dc:title>
  <dc:subject/>
  <dc:creator>1</dc:creator>
  <cp:keywords/>
  <dc:description/>
  <cp:lastModifiedBy>УХОД</cp:lastModifiedBy>
  <cp:revision>3</cp:revision>
  <dcterms:created xsi:type="dcterms:W3CDTF">2022-01-24T08:01:00Z</dcterms:created>
  <dcterms:modified xsi:type="dcterms:W3CDTF">2022-01-24T08:04:00Z</dcterms:modified>
</cp:coreProperties>
</file>