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Лекция №5</w:t>
      </w:r>
      <w:r w:rsidRPr="00C41F36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 xml:space="preserve">   предмет» </w:t>
      </w:r>
      <w:proofErr w:type="spellStart"/>
      <w:r w:rsidRPr="00C41F36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>медсестринство</w:t>
      </w:r>
      <w:proofErr w:type="spellEnd"/>
      <w:r w:rsidRPr="00C41F36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 xml:space="preserve"> в семейной медицине»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ТЕМА: Амбулаторная помощь при заболеваниях мочевыделительной системы.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План: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1.Прием  амбулаторного</w:t>
      </w:r>
      <w:proofErr w:type="gramEnd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  пациента разного возраста, м/с  осмотр, заполнение </w:t>
      </w:r>
      <w:proofErr w:type="spellStart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амб</w:t>
      </w:r>
      <w:proofErr w:type="spellEnd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.карты, б/л, стат. талона, дача направлений на обследования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2.Ведение пациента на домашнем стационаре.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3. Диспансеризация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4.Консультирование пациента, профилактика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Словарный  и</w:t>
      </w:r>
      <w:proofErr w:type="gramEnd"/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понятийный диктант по теме;  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Расшифровать, что такое-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.Нефрология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раздел клинической медицины, изучающий заболевания почек.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2.Нефрон — функциональная единица почки. Состоит из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мальпигиева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тельца и петли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Генле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3.Нефротический синдром — протеинурия, приводящая к снижению концентрации альбумина в плазме крови (из-за его потери с мочой) и развитию отеков.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4.Азотемия — умеренное повышение концентрации продуктов азотистого распада в крови.</w:t>
      </w: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 5.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Аденома предстательной железы — доброкачественная гиперплазия предстательной железы. 6.Анурия — отсутствие поступления мочи в мочевой пузырь.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7.Бактериурия — выделение бактерий с мочой.</w:t>
      </w: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Выщелоченные (потерявшие красящее вещество) эритроциты в моче</w:t>
      </w: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свидетельствуют о заболевании почек.</w:t>
      </w: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                                           8.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Гематурия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эритроцитурия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— выделение крови с мочой.</w:t>
      </w:r>
      <w:r w:rsidRPr="00C41F3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                                                           9.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Гемодиализ — метод лечения острой и хронической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почечнойнедостаточности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помощью аппарата «искусственная почка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».10.Гиперурикемия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повышение содержания мочевой кислоты в крови.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11.Гипоизостенурия — относительная плотность снижена, монотонно колеблется в пределах 1009–1011, т.е. приближается к таковой первичной мочи —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ультрафильтрату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плазмы.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12.Глюкозурия — появление сахара в моче.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13.Гомеостаз — (гомеостазис: от греч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homois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stasis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состояние»,«неподвижность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 — поддержание основных показателей организма в нормальных пределах.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14.Дизурия — расстройство мочеиспускания: учащенное, болезненное, затрудненное.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15.Диурез — процесс образования и выделения мочи из организм за известный промежуток времени.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 Диурез положительный — больной в течение суток выделяет мочи больше, чем было выпито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17 Диурез отрицательный — больной в течение суток выделяет мочи меньше, чем было выпито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18.Изостенурия — монотонные цифры удельного веса в различных порциях мочи.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19.Индекс массы тела (ИМТ) — рассчитывается как соотношение массы тела (кг) / рост (м2).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20.Ишурия — задержка мочеиспускания.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21.Комплемент — группа глобулярных белков в сыворотке крови животных и человека, представляющих собой часть иммунной системы организма. Система комплемента играет важную роль в защите от микробов, активирует катаболизм циркулирующих иммунных комплексов и участвует в регуляции функций иммунной системы.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22.Креатинин — продукт метаболизма креатина, выводится почками.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23. Мочевина — конечный продукт метаболизма белков,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вырабатыва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емый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печени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экскретируемый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почками.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24.Нефрэктомия — операция по удалению почки.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25.Никтурия — преобладание ночного диуреза над дневным.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26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уменьшение объема выделяемой мочи (суточный диурез — менее 300 мл).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27.Перитонеальный диализ — роль полупроницаемой мембраны, или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фильтра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играет брюшина самого пациента, через которую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пропус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кают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раствор, «вытягивающий» на себя вредные вещества. Это обеспечивает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боPльшую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мобильность, чем гемодиализ, однако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возрастаетриск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инфицирования.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28.Полидипсия — избыточное потребление воды.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29 Поллакиурия — учащенное и болезненное мочеиспускание малыми порциями.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30.Полиурия — избыточное выделение мочи, увеличение суточного диуреза (более 2 л)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31.Почечная лоханка — верхний отдел мочеточника, переходящий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почечные чашечки. 32. Почечные чашечки — составная часть почечных лоханок. Большая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чашка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разделяется на малые чашечки, которые затем расщепляются на почечные сосочки.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33.Пиурия — значительное увеличение количеств лейкоцитов в моче, что свидетельствует о гнойном процессе в мочевыводящих путях.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34.Почки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ren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— основной выделительный (экскреторный) парный орган. Выводят с мочой большую часть конечных продуктов обмена, главным образом азотистого: мочевину, аммиак,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креатинин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индикан, остаточный азот.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35.Протеинурия — наличие белка в моче (более 150 мг/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36.Симптом — признак болезни (субъективные и объективные симптомы).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37.Симптом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Пастернацкого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при поколачивании в зоне проекции почек появляется боль.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38.Синдром — сочетание симптомов,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патогенетически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связанных между собой. Рассматривается как самостоятельное заболевание или как стадия каких-либо заболеваний (например, нефротический синдром).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39.Удельный вес — относительная плотность мочи.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40.Уремия — синдром аутоинтоксикации, развивающийся в результате задержки азотистых метаболитов и других токсических веществу пациентов с почечной недостаточностью.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41.Уретрит — воспаление уретры.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42.Урология (от греч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uron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«моча»,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logos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«учение») — раздел клинической медицины, изучающий заболевания органов мочевыводящей системы.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43.Цилиндры — элементы осадка мочи клеточной или белковой природы, имеющие цилиндрическую форму. Образуются в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дистальныхканальцах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собирательных трубочках.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44.Цистит — воспаление мочевого пузыря.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45.Цистоскопия (от греч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endos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«внутрь»,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scopeo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«смотрю») — эндоскопическое исследование мочевого пузыря.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46.Эклампсия — от греч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eclampsis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«вспышка, судороги».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47.Энурез — непроизвольное мочеиспускание во время сна.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48.Facies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nephritica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«лицо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нефритика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— характерный внешний вид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больного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отеками почечного происхождения (лицо бледное, одутловатое, с припухшими отечными веками и суженными глазными  щелями).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Актуальность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изучения проблемы обращений пациентов с урологическими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заболеванями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обусловлена в первую очередь их высокой частотой, имеющей в последние годы тенденцию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увеличению, и теми тяжелыми осложнениями (хроническая почечная недостаточность, развитием пиелонефрита 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д.р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.), к которым они могут привести. болезни почек составляют около 5–6% общей заболеваемости. поражения почек различной природы встречаются, примерно, у 7–10% взрослого населения многих стран. Большая медико-социальная значимость болезней почек обусловлена не только их абсолютной частотой, а тем, что они поражают преимущественно людей в молодом, наиболее активном возрасте: более 60% почечных больных — люди в возрасте до 40 лет.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по своей природе и течению эти заболевания затяжные и пока еще трудно поддаются лечению, в большинстве случаев заканчиваются летальным исходом. По имеющимся данным, по час-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тоте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смертности в молодом возрасте они занимают 2-е место после травматизма. Весьма высок уровень и первичной инвалидности, которая составляет 3–5% общей инвалидности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.</w:t>
      </w:r>
      <w:proofErr w:type="gramEnd"/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Почки играют важную роль в поддержании гомеостаза в организма, выполняют функции регуляции водно-электролитного и кислотно-основного баланса, также почки участвуют в эндокринной регуляции организма и метаболизме многих пищевых веществ.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Заболевания почек способны приводить к снижению почечной экскреции, эндокринным расстройствам, нарушениям обмена веществ с фоном развивающейся ПН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амбулаторном приеме для осуществления сестринского процесса медицинская сестра должна обладать необходимым уровнем теоретических знаний, иметь навыки профессионального общения и обучения пациентов, выполнять сестринские манипуляции, используя современные технологии в  первичной оценке состояния пациента при заболеваниях мочевыводящей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системы,работая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пациентами с болезнями мочевыделительной системы, учитываем и пользуемся  клинико- анатомическими закономерностями:- болезни почек;- почечных лоханок;- мочеточников;- мочевого пузыря; уретры.  Болезни почек с учетом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общей  реактивности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организма делят на три основные группы:-1)</w:t>
      </w: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диффузный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гломерулонефрит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 как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инфекционно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или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токсикоаллергическое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заболевание;2)  токсические и </w:t>
      </w: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инфекционные поражения почек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без выраженных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нений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реактивности организма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нефронекрозы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 </w:t>
      </w: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эмболические и геморрагические нефриты);-3)дистрофические заболевания почек, развивающиеся при нарушениях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обменных процессов, интоксикациях и хронических инфекциях.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Нарушение функций почек влечет за собой изменения водного, электролитного и белкового обмена веществ. При этом возникает </w:t>
      </w: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сложный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симптомокомплекс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включающий мочевые, отечные,</w:t>
      </w: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сердечно-сосудистые, болевые и уремические синдромы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Мочевой синдром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проявляется изменением количества и частоты выделяемой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анурия, полиурия, ишурия, поллакиурия), ее физико-химических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свойств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(гематурия, протеинурия,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глюкозурия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Полиурия наиболее характерна для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нефросклероза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амилоидного нефроза.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анурия чаще бывают при диффузном нефрите.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Отечный синдром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проявляется развитием отеков подкожной клетчатки в области век, подгрудка, нижней части живота, мошонки, конечностей. Наиболее обширные и стойкие отеки характерны обычно для нефроза. При диффузных нефритах отек менее выражен, но сравнительно быстро возникает, а при очаговых нефритах отеков может и не быть.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Сердечно-сосудистый синдром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проявляется повышением артериального давления, гипертрофией левого желудочка, акцентированием второго тона на аорте, напряжением пульса и тахикардией. Этот синдром характерен для диффузного нефрита и нефросклероза. При нефрозах, если не нарушен почечный кровоток, артериальная гипертония не наблюдается.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Болевой синдром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проявляющийся ложными коликами и затрудненным мочеиспусканием, имеет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важное  значение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диагностике болезней мочевой системы, особенно тех, которые сопровождаются задержкой выделения мочи или закупоркой  мочевыводящих путей (циститы, уретриты, пиелит,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уролитиазис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Больные  беспокоятся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жалуются на живот, ,принимают позу для мочеиспускания, скрежещут зубами, стонут.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Уремический синдром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обусловлен задержкой в организме азотистых шлаков и их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токсическим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действием на головной мозг. Синдром проявляется общей слабостью, угнетением, сонливостью, коматозным состоянием, судорогами. Повышение в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крови  в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несколько раз уровня остаточного азота (даже до 3 г на 100 мл) приводит к выделению его через кишечник, вследствие чего нарастают симптомы энтерита с явлениями поноса и возникает рвота. Выдыхаемый воздух и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кожа  приобретают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запах мочи.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Уремический синдром характерен для тяжелых форм нефрита, нефроза и нефросклероза.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Пути инфицирования 1. восходящее инфицирование из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уретры(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микроорганизмы кишечной группы) 2. гематогенный (стафилококки,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Candida,сальмонеллы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микобактерии)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лимфогенный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C41F36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lastRenderedPageBreak/>
        <w:t>План обследования больного. </w:t>
      </w:r>
      <w:r w:rsidRPr="00C41F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Оценка функционального состояния: почек суточный </w:t>
      </w:r>
      <w:proofErr w:type="gramStart"/>
      <w:r w:rsidRPr="00C41F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диурез ,относительная</w:t>
      </w:r>
      <w:proofErr w:type="gramEnd"/>
      <w:r w:rsidRPr="00C41F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плотность мочи уровень калия, мочевины, </w:t>
      </w:r>
      <w:proofErr w:type="spellStart"/>
      <w:r w:rsidRPr="00C41F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креатинина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Субъективное обследование: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факторы риска (неблагоприятные условия труда, профессиональные вредности);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2)причины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(наличие очагов инфекции,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перенесѐнные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ОРВИ, ангина, переохлаждение, введение вакцин и сывороток, наследственность, вредные привычки, семейно-бытовые условия, особенности питания);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время начала заболевания;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течение заболевания (с каких признаков началось, как протекало);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проводившееся обследование и лечение (лекарственные средства, длительность,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эффективность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частота госпитализаций, результаты исследований).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Объективное обследование: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положение пациента в постели: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активное (в начальной стадии многих заболеваний почек при сохранении их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пассивное (при уремической коме); вынужденное: положение пациента на больном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боку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 согнутой в тазобедренном и коленном суставах и приведенной к животу ногой на стороне поражения при паранефрите. При почечной колике из-за болей пациент мечется,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меняет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позы, кричит, не может найти положение, в котором боль стала бы слабее.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При осмотре бледность кожи и слизистых, лицо бледное, одутловатое с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припухшими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отѐчными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веками и суженными глазными щелями, сухость кожи, следы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расчѐсов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Пальпация: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малоинформативна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при значительном скоплении мочи в мочевом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пузыре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(ишурия) у лиц с тонкой брюшной стенкой пальпируется эластичное образование над лобком.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 Перкуссия: положительный симптом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Пастернацкого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обеих сторон или на стороне поражения.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Симптомы: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Отѐки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заболеваниях почек разнообразны по степени выраженности,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локализации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стойкости. Чаще всего они выявляются утром на лице. При более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выраженном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отечном синдроме отеки обнаруживаются на ногах (преимущественно на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голенях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Иногда они достигают огромных размеров, скапливаясь во всей подкожной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жировой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клетчатке (анасарка); жидкость может скапливаться и в полостях: грудной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гидроторакс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брюшной (асцит).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Дизурические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расстройства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никтурия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поллакиурия, полиурия,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странгурия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недержание мочи, ишурия, анурия).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Полиурия – увеличение диуреза до 2 л мочи и более в сутки.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–уменьшение выделения количества мочи до величины менее 500 мл в сутки. Физиологическая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 быть связана с недостаточной гидратацией организма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повышенным потоотделением.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ряде случаев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является следствием заболевания почек и мочевыводящих путей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почечная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Анурия – уменьшение количества мочи до величины менее 50 мл за сутки вплоть до полного ее отсутствия. В отличие от острой задержки мочеиспускания, при анурии мочевой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пузырь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пуст, моча не выделяется почками или не поступает в мочевой пузырь из-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захронической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болезни почек.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 здорового человека мочеиспускание в течение дня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роисходит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4-7 раз, ночью необходимость в мочеиспускании появляется не чаще 1 раза. Однако возможны и более широкие колебания частоты мочеиспускания, зависящие от определенных условий: употребления чрезмерно соленой пищи,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сухоедения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обильного потоотделения, лихорадки и т. д. Количество выделяемой при этом мочи колеблется в среднем в пределах 1000- 2000 мл в сутки.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Поллакиурия (учащенное мочеиспускание – состояние, когда число мочеиспусканий достигает 10-15 в час) может вызываться различными рефлекторными влияниями на мускулатуру мочевого пузыря со стороны почек и мочеточников при наличии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 них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патологических процессов (например, при мочекаменной болезни).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Учащенные позывы на мочеиспускание с выделением каждый раз незначительного количества мочи являются признаком цистита.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женщин поллакиурию могут вызвать различные патологические состояния со стороны половых органов (давление матки на мочевой пузырь при неправильном ее положении, а также при беременности).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Физиологическая поллакиурия наблюдается при стрессах и сильном волнении.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 поллакиурия связана с приемом лекарственных препаратов (уротропина).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Поллакиурия развивается также при всех заболеваниях, сопровождающихся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выделением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большого количества мочи (полиурии), в частности нефросклерозе, сахарном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несахарном диабете, при снятии отеков диуретическими средствами.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Никтурия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преобладание ночного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диурезанад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дневным (в норме соотношение дневного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Диуреза к ночному составляет 3:1 или 4:1).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хронической почечной недостаточности возникает нарушение концентрации мочи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почками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Моча имеет монотонную и низкую плотность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изостенурия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гипостенурия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Странгурия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болезненность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рези при мочеиспускании)– признак воспалительных изменений в уретре и мочевом пузыре при цистите, уретрите, пиелонефрите, мочекаменной болезни.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Сочетание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странгурии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поллакиурии называется дизурия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Боли в поясничной области (тупые, ноющие, острые, приступообразные,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односторонние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двусторонние, иррадиация).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Боль при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гломерулонефрите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ноющая, есть чувство тяжести с обеих сторон в области поясницы.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остром пиелонефрите на стороне поражения присутствует интенсивная боль. Эти боли возникают вследствие воспалительного набухания паренхимы почек и растяжения почечной капсулы.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 время приступа мочекаменной болезни у пациента отмечается резкая боль 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Области поясницы с иррадиацией вниз по ходу мочеточника в мочеиспускательный канал, половые органы. Боль возникает ввиду спастического сокращения </w:t>
      </w: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мочеточника,а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также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Задержки мочи в почечной лоханке и ее растяжения. Боль имеет характер колики (почечная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колика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Иррадиация боли обусловлена тем, что в соответствующих сегментах спинного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мозга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непосредственной близости проходят нервные волокна, несущие чувствительные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импульсы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почек, мочеточника, половых органов.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Остром паранефрите (воспаление околопочечной клетчатки)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интенсивная на стороне поражения.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 и резь внизу живота возникают при цистите (воспаление мочевого пузыря).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Изменение цвета мочи чаще всего обусловлено появление в мути, примесей кров изменение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Ее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запаха .Красный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цвет мочи различной интенсивности признак наличия 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моче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эритроцитов (гематурия), который наблюдается при раке почки, мочевого пузыря,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предстательной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железы, мочекаменной болезни.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Моча цвета «мясных помоев» (грязно-красного цвета) – характерный признак острого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гломерулонефрита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Повышение артериального давления – гипертонический синдром. Особенность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такого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синдрома – значительное повышение диастолического давления.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Лихорадка у больных с почечной патологией может быть признаком инфекции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острой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хронической пиелонефрит), опухоли почек, а также проявлением обострения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того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заболевания, при котором патология почек выступает, как симптом. Длительная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субфебрильная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температура может наблюдаться при туберкулезе почки.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развитии у больного хронической почечной недостаточности – состояния, при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котором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почка не может поддерживать нормальный состав внутренней среды, нарушается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выведение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азотистых шлаков через почки. Эти шлаки выводятся через кожу и слизистые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оболочки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приводя к развитию таких симптомов, как кожный зуд, тошнота, рвота, понос,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запах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мочевины изо рта, геморрагические проявления.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 выше перечисленных симптомов можно выявить следующие проблемы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пациента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настояние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:-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отѐки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лице; - боль в пояснице; - частое мочеиспускание (поллакиурия);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болезненное мочеиспускание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 - уменьшение (увеличение) количества отделяемой мочи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олигурия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анурия, полиурия); - изменение цвета мочи (гематурия); - лихорадка; - головная боль др.;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 </w:t>
      </w: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потенциальные проблемы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острая или хроническая почечная недостаточность;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острая сосудистая или сердечная недостаточность;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почечная эклампсия;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почечная колика;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паранефрит;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поддиафрагмальный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абсцесс и др.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Можно поставить следующие сестринские диагнозы: - частое, болезненное мочеиспускание вследствие воспалительного процесса мочевыводящих путях;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резкая слабость вследствие развития уремии;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боли в правой половине поясничной области вследствие хронического воспаления правой почки;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отѐки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лица вследствие развития почечной недостаточности;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кожный зуд вследствие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уремии;-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тупые боли в поясничной области с обеих сторон вследствие камнеобразования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методы исследования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клинический анализ крови;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биохимическое исследование крови (белок и его фракции, электролиты,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креатинин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мочевина, фибриноген, С-реактивный белок,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протромбиновый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индекс);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Исследование мочи (общий анализ, по Нечипоренко,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Амбурже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Зимницкому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Реберга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бактериологическое).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состава мочи выявляют в лаборатории при исследовании мочи. Помимо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микрогематурии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может наблюдаться и другой не менее важный симптом, встречающийся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болезнях почек, - протеинурия. Протеинурия – выделение с мочой белка в количестве,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превышающем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нормальные значения (50 мг/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Это самый частый признак поражения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почек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Может быть ложная протеинурия – следствием распада клеток при заболеваниях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мочевых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путей или половых органов, распада спермиев при длительном стоянии мочи.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анализе мочи при патологии почек наряду с протеинурией обнаруживают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цилиндры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белковые слепки дистальных почечных канальцев. Сочетание протеинурии,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цилиндрурии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отеков – характерное проявление нефротического синдрома. Обнаружение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моче при ее микроскопии более 5 лейкоцитов в поле зрения или более 4000 в 1 мл мочи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Нечипоренко) называется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лекоцитурией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Этот симптом характерен для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пиелонефрита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патологии мочевыводящих путей.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Инструментальные методы исследования: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обзорная рентгенография почек;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урография;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компьютерная томография;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хромоцистоскопия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сканирование;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УЗИ;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 пункционная биопсия;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биопсия почек;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 исследование глазного дна;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10) ЭКГ.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 </w:t>
      </w:r>
      <w:r w:rsidRPr="00C41F36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Основными</w:t>
      </w:r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принципами правильного </w:t>
      </w:r>
      <w:r w:rsidRPr="00C41F36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питания</w:t>
      </w:r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при</w:t>
      </w:r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заболеваниях</w:t>
      </w:r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этой сферы является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диета № 7, диета № 7а, д диета № 7в, диета № 7г, диета № 7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 .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Данные диеты надо знать и уметь 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аргументировано обучить пациента и его окружение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питаться  с</w:t>
      </w:r>
      <w:proofErr w:type="gramEnd"/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 ограничение потребления белка, соли, снижение калорийности блюд. Достаточно лишь уменьшить употребление соли, пряностей, острых приправ, особенно </w:t>
      </w:r>
      <w:proofErr w:type="gramStart"/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горчицы,  и</w:t>
      </w:r>
      <w:proofErr w:type="gramEnd"/>
      <w:r w:rsidRPr="00C41F3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обязательно исключить спиртное Необходимо также устраивать разгрузочные дни. Ограничение белка. Обмен белков в организме заканчивается образованием азотистых шлаков.</w:t>
      </w:r>
    </w:p>
    <w:p w:rsidR="00C41F36" w:rsidRPr="00C41F36" w:rsidRDefault="00C41F36" w:rsidP="00C41F36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C41F36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 xml:space="preserve">В задачи </w:t>
      </w:r>
      <w:proofErr w:type="gramStart"/>
      <w:r w:rsidRPr="00C41F36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активного »Д</w:t>
      </w:r>
      <w:proofErr w:type="gramEnd"/>
      <w:r w:rsidRPr="00C41F36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» наблюдения входят: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Активное раннее выявление, взятие на учет, тщательное обследование, своевременное эффективное лечение больных с острыми и хроническими заболеваниями почек.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Организация регулярного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длительного  наблюдения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клинического, лабораторного и инструментального обследования, проведение профилактического 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противорецидивного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лечения больных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нефрологического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профиля.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Своевременное и правильное трудоустройство лиц данного контингента с целью создания наиболее благоприятных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условий  для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стойкого и длительного сохранения их трудоспособности.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 Отбор и направление на санаторно-курортное лечение больных с заболеваниями почек в специализированные санатории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нефрологического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профиля.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КОНТИНГЕНТЫ БОЛЬНЫХ С ЗАБОЛЕВАНИЯМИ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ПОЧЕК, ПОДЛЕЖАЩИЕ АКТИВНОМУ НАБЛЮДЕНИЮ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Активному наблюдению подлежат больные со следующими нозологическими формами заболеваний почек: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Острый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гломерулонефрит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затянувшимся течением или с так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называемыми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остаточными явлениями в виде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микропротеинурии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микрогематурии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стационарного лечения.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Различные клинические формы хронического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нефрита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нефротическая, гипертоническая, латентная (или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изоли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рованный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мочевой синдром),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гематурическая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смешанная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сочета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нефротического и гипертонического синдромов).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Амилоидоз почек (вторичный и первичный).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 Острый (после стационарного лечения) и хронический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пие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лонефрит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Нефропатия беременных.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Диабетическая нефропатия (больной наблюдается терапевтом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нефрологом совместно с эндокринологом).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Лица, перенесшие острую почечную недостаточность (ОПН)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различной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этиологии.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8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Поликистоз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почек с наличием или отсутствием сопутствующего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воспалительного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процесса (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гломерулонефрита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пиелонефрита).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ХПН различного генеза.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Вторичные поражения почек при: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системной красной волчанке;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узелковом периартериите;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системной склеродермии;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дерматомиозите;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ревматоидном артрите.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 Лекарственные (медикаментозные) поражения почек Подлежат также активному наблюдению (совместно с урологом) больные с различными аномалиями почек — единственная почка,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подковообразная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удвоенная почка, гипоплазия одной или двух почек,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дистопия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почек и др.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СРОКИ (ДЛИТЕЛЬНОСТЬ) АКТИВНОГО НАБЛЮДЕНИЯ ЗА РАЗЛИЧНЫМИ ГРУППАМИ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ПОЧЕЧНЫХ БОЛЬНЫХ (смотри приказ 770).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Сроки активного наблюдения зависят от нозологической формы и течения заболевания.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Больные острым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и пиелонефритом, выписавшиеся из стационара после проведенного курса лечения: – в состоянии выздоровления, т. е. при полном отсутствии 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экстра-ренальных признаков заболевания (гипертония, отеки) и мочевого синдрома, должны находиться под активным наблюдением до 3 лет; необходимо рекомендовать и в дальнейшем избегать переохлаждения, соблюдать режима труда и отдыха, делать анализы мочи во время и после перенесенных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интеркур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-рентных заболеваний; работа их не должна быть связана с переохлаждением, горячих цехах, с большим физическим напряжением и контактом с токсическими веществами.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Задача №</w:t>
      </w:r>
      <w:r w:rsidRPr="00C41F36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Больной В., 26 лет, обратился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 с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жалобами на резкую слабость,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одышку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головную боль, тошноту, отеки на лице. В 15-летнем возрасте перенес острый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гломерулонефрит</w:t>
      </w:r>
      <w:proofErr w:type="spellEnd"/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После этого оставались головные боли, слабость, изменения в моче.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Ухудшение состояния связывает с переохлаждением.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Объективно: температура: 37,2° С. Общее состояние средней тяжести. Кожа сухая,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бледная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одутловатость лица, отеки на ногах. Левая граница относительной сердечной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тупости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определяется по левой средне-ключичной линии. Тоны сердца ритмичные,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приглушены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ЧСС 78 в мин., АД 180/100 мм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рт.ст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Язык влажный, обложен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беловатым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налетом. Живот мягкий, безболезненный.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Задания: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Сформулируйте и обоснуйте предположительный диагноз.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Назовите необходимые дополнительные исследования.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Перечислите возможные осложнения.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Расскажите о принципах лечения, прогнозе и профилактике заболевания.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Подготовьтесь продемонстрировать технику в/в инъекций, повторив алгоритмы.</w:t>
      </w:r>
    </w:p>
    <w:p w:rsidR="00C41F36" w:rsidRPr="00C41F36" w:rsidRDefault="00C41F36" w:rsidP="00C41F36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C41F36">
        <w:rPr>
          <w:rFonts w:ascii="Arial" w:eastAsia="Times New Roman" w:hAnsi="Arial" w:cs="Arial"/>
          <w:b/>
          <w:bCs/>
          <w:color w:val="2C2D2E"/>
          <w:lang w:eastAsia="ru-RU"/>
        </w:rPr>
        <w:t>Задача №2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Больная Н., 32-х лет, </w:t>
      </w: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обратилась  с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жалобами на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потрясающийозноб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повышение температуры, ноющие боли в пояснице справа, частое болезненное мочеиспускание. Свое заболевание связывает с переохлаждением. В анамнезе частые циститы.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Объективно: температура 38°С. Общее состояние средней тяжести. Кожа чистая.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Дыхание везикулярное. Тоны сердца приглушенные, ритмичные, ЧСС 92 в мин., АД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120/80 мм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рт.ст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Язык чистый. Живот мягкий, отмечается болезненность по наружному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краю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прямой мышцы живота справа на уровне реберной дуги, пупка и паховой складки.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Симптом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Пастернацкого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положительный справа.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Задания: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Сформулируйте и обоснуйте предположительный диагноз.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Назовите необходимые дополнительные исследования.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 xml:space="preserve">Задача № </w:t>
      </w:r>
      <w:proofErr w:type="gramStart"/>
      <w:r w:rsidRPr="00C41F36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3</w:t>
      </w: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Больной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К., 28 лет. Жалобы на сильные боли в области поясницы и правой половины живота, иррадиирущие в паховую область и правое бедро. Отмечает частые позывы к мочеиспусканию. Год назад впервые был подобный приступ. Вызвали "скорую помощь", делали уколы и боли прошли, но после этого приступа была красная моча. Объективно: температура 36,4°С. Общее состояние средней тяжести. Больной беспокойный, ищет удобное положение для облегчения болей. Со стороны органов дыхания и сердечно-сосудистой системы патологии нет. Пульс 76 в мин., ритмичный, АД 120/60 мм </w:t>
      </w: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рт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ст. Живот мягкий, при пальпации болезненный в правой половине. Симптом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Пастернацкого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резко положительный справа. Задания: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Сформулируйте и обоснуйте предположительный диагноз.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Назовите необходимые дополнительные исследования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Перечислите возможные осложнения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Расскажите о принципах лечения, прогнозе и профилактике заболевания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Подготовьтесь продемонстрировать технику катетеризации мочевого пузыря.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lastRenderedPageBreak/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Задача № 4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Составьте самостоятельно ситуационную задачу по обучению пациента с </w:t>
      </w:r>
      <w:proofErr w:type="spellStart"/>
      <w:proofErr w:type="gram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урологичесой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патологией</w:t>
      </w:r>
      <w:proofErr w:type="gram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решите ее, выделив приоритетные проблемы пациента, тактики поведения, диете. наблюдению, профилактике обострений или возникновению заболевания </w:t>
      </w:r>
      <w:proofErr w:type="spellStart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мпс</w:t>
      </w:r>
      <w:proofErr w:type="spellEnd"/>
      <w:r w:rsidRPr="00C41F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 гигиене,  водному режиму и активности.</w:t>
      </w:r>
    </w:p>
    <w:p w:rsidR="00C41F36" w:rsidRPr="00C41F36" w:rsidRDefault="00C41F36" w:rsidP="00C41F36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C41F36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Сестринское дело в нефрологии- тестирование: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Основная причина острого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гломерулонефрита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бета-гемолитический стрептококк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грибковая инфекция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кишечная палочка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микобактерии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При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преимущественно поражаются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почечные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spell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канальцы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клубочки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лоханки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чашечки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Симптом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Пастернацкого</w:t>
      </w:r>
      <w:proofErr w:type="spellEnd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определяют при исследовании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заболевани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печени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легких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 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сердца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почек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4. 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Острый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гломерулонефрит</w:t>
      </w:r>
      <w:proofErr w:type="spellEnd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возникает после ангины через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1-2 дня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3-4 дня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1-2 недели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1-2 месяца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5. Приоритетные проблемы пациента при остром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гломерулонефрите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)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слабоcть</w:t>
      </w:r>
      <w:proofErr w:type="spell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, недомогание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повышенная утомляемость, лихорадка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снижение работоспособности и аппетита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головная боль, отеки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 Отеки почечного происхождения появляются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утром на ногах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утром на лице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вечером на ногах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вечером на лице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 Ранним проявлением развивающихся скрытых отеков является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гидроторакс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б)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гидроперикард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увеличение живота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увеличение массы тела и уменьшение суточного диуреза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При остром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моча имеет цвет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бесцветный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"пива"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соломенно-желтый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"мясных помоев"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9. </w:t>
      </w:r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Моча </w:t>
      </w:r>
      <w:proofErr w:type="spellStart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цве</w:t>
      </w:r>
      <w:proofErr w:type="spellEnd"/>
      <w:r w:rsidRPr="00C41F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та "мясных помоев" обусловлена содержанием большого количества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бактерий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лейкоцитов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цилиндров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эритроцитов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10. У пациента с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отрым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гломерулонефритом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медсестра обнаруживает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повышение АД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понижение АД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желтуху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г)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акроцианоз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11. Мочу для общего клинического анализа медсестра должна доставить в лабораторию в течение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а) 1 час   б) 3 часов   в) 5 часов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7 часов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12. Для сбора мочи на общий анализ медсестра должна обеспечить пациента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сухой банкой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сухой пробиркой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стерильной банкой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стерильной пробиркой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13. Суточный диурез у пациента с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отрым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гломерулонефритом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составил 400 мл – это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анурия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б)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олигоурия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полиурия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протеинурия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14. Анурия – это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а) много мочи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нормальное количество мочи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преобладание ночного диуреза над дневным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отсутствие мочи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15. Количество мочи, которое медсестра отправляет в лабораторию для проведения общего анализа (в миллилитрах)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3-5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10-15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100-200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300-400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16. Изменения в общем анализе мочи у пациента с острым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гломерулонефритом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) гематурия, протеинурия,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цилиндрурия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) гематурия,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глюкозурия</w:t>
      </w:r>
      <w:proofErr w:type="spell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,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цилиндрурия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)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лейкоцитурия</w:t>
      </w:r>
      <w:proofErr w:type="spell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, протеинурия,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цилиндрурия</w:t>
      </w:r>
      <w:proofErr w:type="spellEnd"/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) </w:t>
      </w:r>
      <w:proofErr w:type="spell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лейкоцитурия</w:t>
      </w:r>
      <w:proofErr w:type="spell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, протеинурия, бактериурия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17. При остром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медсестра рекомендует пациенту режим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строгий постельный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постельный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в) палатный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общий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18. При хроническом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 выраженной азотемией назначают диету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lastRenderedPageBreak/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основной вариант стандартной 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вариант с пониженным количеством белка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вариант с пониженной калорийностью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вариант с повышенным количеством белка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19. Диета при остром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предусматривает ограничение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белков и жиров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б) белков и углеводов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жидкости и соли</w:t>
      </w: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</w:t>
      </w:r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г) жидкости и углеводов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20. При остром </w:t>
      </w:r>
      <w:proofErr w:type="spellStart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гломерулонефрите</w:t>
      </w:r>
      <w:proofErr w:type="spellEnd"/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постельный режим назначают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а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до нормализации температуры тела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б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до исчезновения боли в поясничной области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в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до нормализации анализов мочи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</w:t>
      </w:r>
      <w:proofErr w:type="gramEnd"/>
      <w:r w:rsidRPr="00C41F36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) до исчезновения отеков и нормализации АД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1F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41F36" w:rsidRPr="00C41F36" w:rsidRDefault="00C41F36" w:rsidP="00C41F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C41F36">
        <w:rPr>
          <w:rFonts w:ascii="Calibri" w:eastAsia="Times New Roman" w:hAnsi="Calibri" w:cs="Times New Roman"/>
          <w:color w:val="2C2D2E"/>
          <w:lang w:eastAsia="ru-RU"/>
        </w:rPr>
        <w:t> </w:t>
      </w:r>
    </w:p>
    <w:p w:rsidR="0012419B" w:rsidRDefault="0012419B">
      <w:bookmarkStart w:id="0" w:name="_GoBack"/>
      <w:bookmarkEnd w:id="0"/>
    </w:p>
    <w:sectPr w:rsidR="0012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36"/>
    <w:rsid w:val="0012419B"/>
    <w:rsid w:val="00B43E9D"/>
    <w:rsid w:val="00C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7244-B625-45A3-9877-87B41D1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1F36"/>
    <w:rPr>
      <w:b/>
      <w:bCs/>
    </w:rPr>
  </w:style>
  <w:style w:type="character" w:styleId="a4">
    <w:name w:val="Emphasis"/>
    <w:basedOn w:val="a0"/>
    <w:uiPriority w:val="20"/>
    <w:qFormat/>
    <w:rsid w:val="00C41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2022-01-31T15:32:00Z</dcterms:created>
  <dcterms:modified xsi:type="dcterms:W3CDTF">2022-01-31T16:20:00Z</dcterms:modified>
</cp:coreProperties>
</file>